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社区矫正系统数据库设计文档（正式版）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1 文档概述</w:t>
      </w:r>
      <w:bookmarkEnd w:id="0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1.1 文档目的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文档为社区矫正业务管理系统数据库详细设计文档，用于定义系统全部数据表结构、字段属性、索引规则、数据字典、约束规范、业务关联关系。作为开发、测试、实施、运维、验收的正式依据，统一数据库设计标准，保障系统数据一致性、完整性、可扩展性，适配达梦国产化数据库信创环境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1.2 适用范围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文档适用于社区矫正全业务模块，包含人员建档、调查评估、矫正监管、教育帮扶、审批流转、定位监管、生物识别、统计报表、系统权限、日志审计、协同对接等全部业务，适配达梦DM7/DM8数据库，支持国产化部署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1.3 数据库运行环境规范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760"/>
        <w:gridCol w:w="2760"/>
        <w:gridCol w:w="2760"/>
      </w:tblGrid>
      <w:tr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配置项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规范值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备注</w:t>
            </w:r>
          </w:p>
        </w:tc>
      </w:tr>
      <w:tr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数据库类型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达梦数据库 DM7 / DM8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国产化</w:t>
            </w:r>
            <w:r>
              <w:rPr>
                <w:rFonts w:eastAsia="等线" w:ascii="Arial" w:cs="Arial" w:hAnsi="Arial"/>
                <w:sz w:val="22"/>
              </w:rPr>
              <w:t>信创适配</w:t>
            </w:r>
          </w:p>
        </w:tc>
      </w:tr>
      <w:tr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字符集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UTF8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统一中文编码，杜绝乱码</w:t>
            </w:r>
          </w:p>
        </w:tc>
      </w:tr>
      <w:tr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排序规则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UTF8_GENERAL_CI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通用排序规则</w:t>
            </w:r>
          </w:p>
        </w:tc>
      </w:tr>
      <w:tr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主键生成规则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32位UUID/雪花ID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全局唯一</w:t>
            </w:r>
          </w:p>
        </w:tc>
      </w:tr>
      <w:tr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脚本特性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可重复执行、无语法报错</w:t>
            </w:r>
          </w:p>
        </w:tc>
        <w:tc>
          <w:tcPr>
            <w:tcW w:w="276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建表、注释、索引三段隔离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1.4 通用设计规范</w:t>
      </w:r>
      <w:bookmarkEnd w:id="4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命名规范</w:t>
      </w:r>
      <w:r>
        <w:rPr>
          <w:rFonts w:eastAsia="等线" w:ascii="Arial" w:cs="Arial" w:hAnsi="Arial"/>
          <w:sz w:val="22"/>
        </w:rPr>
        <w:t>：表名、字段名统一小写，下划线分隔，语义清晰无歧义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软删除规范</w:t>
      </w:r>
      <w:r>
        <w:rPr>
          <w:rFonts w:eastAsia="等线" w:ascii="Arial" w:cs="Arial" w:hAnsi="Arial"/>
          <w:sz w:val="22"/>
        </w:rPr>
        <w:t>：所有业务表统一字段 SFSC TINYINT NOT NULL DEFAULT 0（0=正常，1=删除）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时间字段规范</w:t>
      </w:r>
      <w:r>
        <w:rPr>
          <w:rFonts w:eastAsia="等线" w:ascii="Arial" w:cs="Arial" w:hAnsi="Arial"/>
          <w:sz w:val="22"/>
        </w:rPr>
        <w:t>：CREATE_TIME、UPDATE_TIME 默认当前时间戳，自动更新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数据类型规范</w:t>
      </w:r>
      <w:r>
        <w:rPr>
          <w:rFonts w:eastAsia="等线" w:ascii="Arial" w:cs="Arial" w:hAnsi="Arial"/>
          <w:sz w:val="22"/>
        </w:rPr>
        <w:t>：短文本VARCHAR、大文本TEXT、二进制文件BLOB、日期DATE、时间DATETIME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索引规范</w:t>
      </w:r>
      <w:r>
        <w:rPr>
          <w:rFonts w:eastAsia="等线" w:ascii="Arial" w:cs="Arial" w:hAnsi="Arial"/>
          <w:sz w:val="22"/>
        </w:rPr>
        <w:t>：所有索引携带 IF NOT EXISTS，支持重复部署；业务关联字段必建索引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空值规范</w:t>
      </w:r>
      <w:r>
        <w:rPr>
          <w:rFonts w:eastAsia="等线" w:ascii="Arial" w:cs="Arial" w:hAnsi="Arial"/>
          <w:sz w:val="22"/>
        </w:rPr>
        <w:t>：严格区分 NULL/NOT NULL，杜绝字段类型简写语法错误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1.5 系统模块与表总览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本系统共计 </w:t>
      </w:r>
      <w:r>
        <w:rPr>
          <w:rFonts w:eastAsia="等线" w:ascii="Arial" w:cs="Arial" w:hAnsi="Arial"/>
          <w:b w:val="true"/>
          <w:sz w:val="22"/>
        </w:rPr>
        <w:t>59张数据表</w:t>
      </w:r>
      <w:r>
        <w:rPr>
          <w:rFonts w:eastAsia="等线" w:ascii="Arial" w:cs="Arial" w:hAnsi="Arial"/>
          <w:sz w:val="22"/>
        </w:rPr>
        <w:t>，分为十大业务模块：基础字典模块、机构人员模块、调查评估模块、矫正对象主数据模块、矫正档案模块、矫正小组模块、业务审批模块、定位监管模块、教育帮扶模块、系统辅助模块。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6" w:id="6"/>
      <w:r>
        <w:rPr>
          <w:rFonts w:eastAsia="等线" w:ascii="Arial" w:cs="Arial" w:hAnsi="Arial"/>
          <w:b w:val="true"/>
          <w:sz w:val="36"/>
        </w:rPr>
        <w:t>2 数据库总体设计</w:t>
      </w:r>
      <w:bookmarkEnd w:id="6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2.1 数据完整性约束</w:t>
      </w:r>
      <w:bookmarkEnd w:id="7"/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主键约束</w:t>
      </w:r>
      <w:r>
        <w:rPr>
          <w:rFonts w:eastAsia="等线" w:ascii="Arial" w:cs="Arial" w:hAnsi="Arial"/>
          <w:sz w:val="22"/>
        </w:rPr>
        <w:t>：每张数据表设置唯一主键，保证单条数据唯一性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非空约束</w:t>
      </w:r>
      <w:r>
        <w:rPr>
          <w:rFonts w:eastAsia="等线" w:ascii="Arial" w:cs="Arial" w:hAnsi="Arial"/>
          <w:sz w:val="22"/>
        </w:rPr>
        <w:t>：核心业务字段强制非空，保证数据完整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默认值约束</w:t>
      </w:r>
      <w:r>
        <w:rPr>
          <w:rFonts w:eastAsia="等线" w:ascii="Arial" w:cs="Arial" w:hAnsi="Arial"/>
          <w:sz w:val="22"/>
        </w:rPr>
        <w:t>：状态、时间、排序字段统一配置默认值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唯一索引约束</w:t>
      </w:r>
      <w:r>
        <w:rPr>
          <w:rFonts w:eastAsia="等线" w:ascii="Arial" w:cs="Arial" w:hAnsi="Arial"/>
          <w:sz w:val="22"/>
        </w:rPr>
        <w:t>：身份证、业务编号等唯一字段建立唯一索引，防止重复数据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2.2 索引设计原则</w:t>
      </w:r>
      <w:bookmarkEnd w:id="8"/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主键默认聚集索引，提升单条查询效率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机构编码、矫正编号、身份证号、业务单据号建立高频查询索引</w:t>
      </w: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状态+删除标记建立复合索引，适配分页筛选场景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时间字段建立索引，适配时间范围查询、排序统计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9" w:id="9"/>
      <w:r>
        <w:rPr>
          <w:rFonts w:eastAsia="等线" w:ascii="Arial" w:cs="Arial" w:hAnsi="Arial"/>
          <w:b w:val="true"/>
          <w:sz w:val="36"/>
        </w:rPr>
        <w:t>3 详细数据表结构设计</w:t>
      </w:r>
      <w:bookmarkEnd w:id="9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0" w:id="10"/>
      <w:r>
        <w:rPr>
          <w:rFonts w:eastAsia="等线" w:ascii="Arial" w:cs="Arial" w:hAnsi="Arial"/>
          <w:b w:val="true"/>
          <w:sz w:val="32"/>
        </w:rPr>
        <w:t>3.1 基础字典模块</w:t>
      </w:r>
      <w:bookmarkEnd w:id="10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3.1.1 sys_area 行政区划表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功能：存储全国省、市、县、乡镇、街道行政区划数据，用于区域数据筛选与隔离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650"/>
        <w:gridCol w:w="1650"/>
        <w:gridCol w:w="1650"/>
        <w:gridCol w:w="1650"/>
        <w:gridCol w:w="1650"/>
      </w:tblGrid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字段名称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字段类型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是否非空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默认值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字段说明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AREAID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VARCHAR(6)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区划编码主键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AREANAME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VARCHAR(300)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区划名称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PARENTID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VARCHAR(6)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上级区划编码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LEVEL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TIN</w:t>
            </w:r>
            <w:r>
              <w:rPr>
                <w:rFonts w:eastAsia="等线" w:ascii="Arial" w:cs="Arial" w:hAnsi="Arial"/>
                <w:sz w:val="22"/>
              </w:rPr>
              <w:t>YINT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层级：1省2市3县4乡镇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SORT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INT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排序序号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SFSC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TINYINT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逻辑删除：0正常1删除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CREATE_TIME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DATETIME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CURRENT_TIMESTAMP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创建时间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UPDATE_TIME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DATETIME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CURRENT_TIMESTAMP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更新时间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索引</w:t>
      </w:r>
      <w:r>
        <w:rPr>
          <w:rFonts w:eastAsia="等线" w:ascii="Arial" w:cs="Arial" w:hAnsi="Arial"/>
          <w:sz w:val="22"/>
        </w:rPr>
        <w:t>：idx_parent(PARENTID,SFSC)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3.1.2 sys_dict 通用字典表</w:t>
      </w:r>
      <w:bookmarkEnd w:id="1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功能：存储系统全部业务字典，统一编码规范，适配国家标准编码体系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650"/>
        <w:gridCol w:w="1650"/>
        <w:gridCol w:w="1650"/>
        <w:gridCol w:w="1650"/>
        <w:gridCol w:w="1650"/>
      </w:tblGrid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字段名称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</w:t>
            </w:r>
            <w:r>
              <w:rPr>
                <w:rFonts w:eastAsia="等线" w:ascii="Arial" w:cs="Arial" w:hAnsi="Arial"/>
                <w:sz w:val="22"/>
              </w:rPr>
              <w:t>类型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是否非空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默认值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字段说明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DICTID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VARCHAR(32)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字典主键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DICT_TYPE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VARCHAR(50)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字典分类编码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DICT_LABEL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VARCHAR(300)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字典显示名称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DICT_VALUE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VARCHAR(100)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字典存储值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SORT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INT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排序号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STATUS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TINYINT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状态</w:t>
            </w:r>
            <w:r>
              <w:rPr>
                <w:rFonts w:eastAsia="等线" w:ascii="Arial" w:cs="Arial" w:hAnsi="Arial"/>
                <w:sz w:val="22"/>
              </w:rPr>
              <w:t>：1启用0停用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SFSC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TINYINT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逻辑删除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CREATE_TIME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DATETIME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CURRENT_TIMESTAMP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创建时间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索引</w:t>
      </w:r>
      <w:r>
        <w:rPr>
          <w:rFonts w:eastAsia="等线" w:ascii="Arial" w:cs="Arial" w:hAnsi="Arial"/>
          <w:sz w:val="22"/>
        </w:rPr>
        <w:t>：idx_type(DICT_TYPE,SFSC)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3" w:id="13"/>
      <w:r>
        <w:rPr>
          <w:rFonts w:eastAsia="等线" w:ascii="Arial" w:cs="Arial" w:hAnsi="Arial"/>
          <w:b w:val="true"/>
          <w:sz w:val="30"/>
        </w:rPr>
        <w:t>3.1.3 sys_oper_log 系统操作日志表</w:t>
      </w:r>
      <w:bookmarkEnd w:id="1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功能：记录系统所有用户操作行为，用于审计、溯源、安全留痕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650"/>
        <w:gridCol w:w="1650"/>
        <w:gridCol w:w="1650"/>
        <w:gridCol w:w="1650"/>
        <w:gridCol w:w="1650"/>
      </w:tblGrid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字段名称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字段类型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是否非空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默认值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字段说明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LOGID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VARCHAR(32)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日志主键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RYBM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VARCHAR(20)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操作人编码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OPER_NAME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VARCHAR(20)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操作人姓名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ORGCODE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VARCHAR(18)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操作单位编码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MODULE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VARCHAR(50)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操作模块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OPER_TYPE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VARCHAR(30)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操作类型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BUSIID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VARCHAR(64)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业务单据ID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REQ_URL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VARCHAR(255)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请求地址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REQ_METHOD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VARCHAR(20)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请求方式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REQ_PARAM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TEXT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请求参数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CLIENT_IP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VARCHAR(50)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客户端IP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OPER_DT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DATETIME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CURRENT_TIMESTAMP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操作时间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COST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BIGINT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请求耗时(ms)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RESULT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TINYINT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结果：0失败1成功</w:t>
            </w:r>
          </w:p>
        </w:tc>
      </w:tr>
      <w:tr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ERROR_TEXT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TEXT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否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6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异常信息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索引</w:t>
      </w:r>
      <w:r>
        <w:rPr>
          <w:rFonts w:eastAsia="等线" w:ascii="Arial" w:cs="Arial" w:hAnsi="Arial"/>
          <w:sz w:val="22"/>
        </w:rPr>
        <w:t>：idx_user(RYBM,OPER_DT)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4" w:id="14"/>
      <w:r>
        <w:rPr>
          <w:rFonts w:eastAsia="等线" w:ascii="Arial" w:cs="Arial" w:hAnsi="Arial"/>
          <w:b w:val="true"/>
          <w:sz w:val="32"/>
        </w:rPr>
        <w:t>3.2 机构人员模块</w:t>
      </w:r>
      <w:bookmarkEnd w:id="1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包含：sys_org司法机构表、sys_staff司法工作人员表、sys_social_worker社会工作者表、sys_volunteer志愿者表，字段规范统一，适配司法标准规范。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5" w:id="15"/>
      <w:r>
        <w:rPr>
          <w:rFonts w:eastAsia="等线" w:ascii="Arial" w:cs="Arial" w:hAnsi="Arial"/>
          <w:b w:val="true"/>
          <w:sz w:val="32"/>
        </w:rPr>
        <w:t>3.3 调查评估模块</w:t>
      </w:r>
      <w:bookmarkEnd w:id="1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包含：survey_main评估主表、survey_visit走访记录、survey_detail评估详情、survey_record取证记录、survey_guarantor保证人、survey_group评估小组、survey_group_member小组成员、survey_feedback评估反馈，完整覆盖审前调查全流程。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6" w:id="16"/>
      <w:r>
        <w:rPr>
          <w:rFonts w:eastAsia="等线" w:ascii="Arial" w:cs="Arial" w:hAnsi="Arial"/>
          <w:b w:val="true"/>
          <w:sz w:val="32"/>
        </w:rPr>
        <w:t>3.4 矫正对象核心模块</w:t>
      </w:r>
      <w:bookmarkEnd w:id="16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7" w:id="17"/>
      <w:r>
        <w:rPr>
          <w:rFonts w:eastAsia="等线" w:ascii="Arial" w:cs="Arial" w:hAnsi="Arial"/>
          <w:b w:val="true"/>
          <w:sz w:val="30"/>
        </w:rPr>
        <w:t>3.4.1 jz_object 矫正对象主表（核心主表）</w:t>
      </w:r>
      <w:bookmarkEnd w:id="1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功能：存储所有社区矫正人员基础档案信息，为全系统核心主表，所有子表通过SQJZDXBH关联本表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8" w:id="18"/>
      <w:r>
        <w:rPr>
          <w:rFonts w:eastAsia="等线" w:ascii="Arial" w:cs="Arial" w:hAnsi="Arial"/>
          <w:b w:val="true"/>
          <w:sz w:val="32"/>
        </w:rPr>
        <w:t>3.5 矫正档案子模块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包含：jz_resume个人简历、jz_relation家庭社会关系、jz_law_doc法律文书、receive_document文书接收台账、jz_declare入矫宣告、jz_plan矫正方案、jz_execute矫正执行档案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9" w:id="19"/>
      <w:r>
        <w:rPr>
          <w:rFonts w:eastAsia="等线" w:ascii="Arial" w:cs="Arial" w:hAnsi="Arial"/>
          <w:b w:val="true"/>
          <w:sz w:val="32"/>
        </w:rPr>
        <w:t>3.6 矫正小组模块</w:t>
      </w:r>
      <w:bookmarkEnd w:id="1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包含：jz_correct_group矫正小组主表、jz_correct_member小组成员、jz_group_book小组责任书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0" w:id="20"/>
      <w:r>
        <w:rPr>
          <w:rFonts w:eastAsia="等线" w:ascii="Arial" w:cs="Arial" w:hAnsi="Arial"/>
          <w:b w:val="true"/>
          <w:sz w:val="32"/>
        </w:rPr>
        <w:t>3.7 业务审批模块</w:t>
      </w:r>
      <w:bookmarkEnd w:id="2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包含：jz_visit_apply会客审批、jz_leave_apply外出审批、jz_move_house迁居审批、jz_change_area执行地变更、jz_reward_punish奖惩审批、jz_loc_apply定位设备审批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1" w:id="21"/>
      <w:r>
        <w:rPr>
          <w:rFonts w:eastAsia="等线" w:ascii="Arial" w:cs="Arial" w:hAnsi="Arial"/>
          <w:b w:val="true"/>
          <w:sz w:val="32"/>
        </w:rPr>
        <w:t>3.8 定位监管模块</w:t>
      </w:r>
      <w:bookmarkEnd w:id="2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包含：jz_report日常报到、dev_location定位设备、dw_track定位轨迹、dw_fence电子围栏、dw_alarm定位报警、dev_zaijiaotong在矫通设备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2" w:id="22"/>
      <w:r>
        <w:rPr>
          <w:rFonts w:eastAsia="等线" w:ascii="Arial" w:cs="Arial" w:hAnsi="Arial"/>
          <w:b w:val="true"/>
          <w:sz w:val="32"/>
        </w:rPr>
        <w:t>3.9 教育帮扶模块</w:t>
      </w:r>
      <w:bookmarkEnd w:id="2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包含：edu_activity教育活动、edu_sign签到记录、edu_online线上课程、edu_study线上学习、jz_service_record公益服务、jz_psych_record心理辅导、jz_help_record帮扶记录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3" w:id="23"/>
      <w:r>
        <w:rPr>
          <w:rFonts w:eastAsia="等线" w:ascii="Arial" w:cs="Arial" w:hAnsi="Arial"/>
          <w:b w:val="true"/>
          <w:sz w:val="32"/>
        </w:rPr>
        <w:t>3.10 收尾处置模块</w:t>
      </w:r>
      <w:bookmarkEnd w:id="2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包含：jz_finish期满解矫、jz_absent脱管漏管、jz_prison收监执行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4" w:id="24"/>
      <w:r>
        <w:rPr>
          <w:rFonts w:eastAsia="等线" w:ascii="Arial" w:cs="Arial" w:hAnsi="Arial"/>
          <w:b w:val="true"/>
          <w:sz w:val="32"/>
        </w:rPr>
        <w:t>3.11 生物识别模块</w:t>
      </w:r>
      <w:bookmarkEnd w:id="2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包含：bio_face人脸特征、bio_voice声纹特征、bio_finger指纹特征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5" w:id="25"/>
      <w:r>
        <w:rPr>
          <w:rFonts w:eastAsia="等线" w:ascii="Arial" w:cs="Arial" w:hAnsi="Arial"/>
          <w:b w:val="true"/>
          <w:sz w:val="32"/>
        </w:rPr>
        <w:t>3.12 系统辅助模块</w:t>
      </w:r>
      <w:bookmarkEnd w:id="2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包含：app_msg消息通知、stat_day统计日报、work_net一网通办、sync_business_log协同日志、public_notice公告、video_dev视频设备、supervise_record督察记录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26" w:id="26"/>
      <w:r>
        <w:rPr>
          <w:rFonts w:eastAsia="等线" w:ascii="Arial" w:cs="Arial" w:hAnsi="Arial"/>
          <w:b w:val="true"/>
          <w:sz w:val="36"/>
        </w:rPr>
        <w:t>4 索引汇总表</w:t>
      </w:r>
      <w:bookmarkEnd w:id="2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所有索引均已修复语法错误，全部携带 IF NOT EXISTS，支持重复部署，核心索引如下：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机构区域索引：区域、机构编码复合索引，实现数据权限隔离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人员唯一索引：身份证号唯一索引，杜绝重复人员建档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业务关联索引：所有子表矫正编号索引，大幅提升联表查询性能</w:t>
      </w:r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状态筛选索引：状态+删除标记复合索引，适配分页查询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时间排序索引：操作时间、业务时间索引，适配统计、日志查询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27" w:id="27"/>
      <w:r>
        <w:rPr>
          <w:rFonts w:eastAsia="等线" w:ascii="Arial" w:cs="Arial" w:hAnsi="Arial"/>
          <w:b w:val="true"/>
          <w:sz w:val="36"/>
        </w:rPr>
        <w:t>5 数据库运维规范</w:t>
      </w:r>
      <w:bookmarkEnd w:id="27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8" w:id="28"/>
      <w:r>
        <w:rPr>
          <w:rFonts w:eastAsia="等线" w:ascii="Arial" w:cs="Arial" w:hAnsi="Arial"/>
          <w:b w:val="true"/>
          <w:sz w:val="32"/>
        </w:rPr>
        <w:t>5.1 性能优化建议</w:t>
      </w:r>
      <w:bookmarkEnd w:id="28"/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日志表、轨迹表、报警表建议按年分区存储，提升大数据量查询性能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高频查询字段已全部建索引，禁止随意新增无效索引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大文本、二进制文件单独存储，避免表数据膨胀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9" w:id="29"/>
      <w:r>
        <w:rPr>
          <w:rFonts w:eastAsia="等线" w:ascii="Arial" w:cs="Arial" w:hAnsi="Arial"/>
          <w:b w:val="true"/>
          <w:sz w:val="32"/>
        </w:rPr>
        <w:t>5.2 数据备份规范</w:t>
      </w:r>
      <w:bookmarkEnd w:id="29"/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开启达梦定时全量备份+增量备份策略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保留30天备份日志，支持故障回滚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0" w:id="30"/>
      <w:r>
        <w:rPr>
          <w:rFonts w:eastAsia="等线" w:ascii="Arial" w:cs="Arial" w:hAnsi="Arial"/>
          <w:b w:val="true"/>
          <w:sz w:val="32"/>
        </w:rPr>
        <w:t>5.3 权限规范</w:t>
      </w:r>
      <w:bookmarkEnd w:id="30"/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业务应用账号仅开放增删改查权限，禁止DDL权限</w:t>
      </w:r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数据库管理员单独账号，负责结构维护、备份运维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31" w:id="31"/>
      <w:r>
        <w:rPr>
          <w:rFonts w:eastAsia="等线" w:ascii="Arial" w:cs="Arial" w:hAnsi="Arial"/>
          <w:b w:val="true"/>
          <w:sz w:val="36"/>
        </w:rPr>
        <w:t>6 版本修订记录</w:t>
      </w:r>
      <w:bookmarkEnd w:id="31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070"/>
        <w:gridCol w:w="2070"/>
        <w:gridCol w:w="2070"/>
        <w:gridCol w:w="2070"/>
      </w:tblGrid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版本号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修订日期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修订内容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修订人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V1.0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2026-07-16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初始完整版，修复全部</w:t>
            </w:r>
            <w:r>
              <w:rPr>
                <w:rFonts w:eastAsia="等线" w:ascii="Arial" w:cs="Arial" w:hAnsi="Arial"/>
                <w:sz w:val="22"/>
              </w:rPr>
              <w:t>语法错误、索引错误、字段简写错误，适配达梦数据库，59张</w:t>
            </w:r>
            <w:r>
              <w:rPr>
                <w:rFonts w:eastAsia="等线" w:ascii="Arial" w:cs="Arial" w:hAnsi="Arial"/>
                <w:sz w:val="22"/>
              </w:rPr>
              <w:t>表结构定稿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开发组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|（注：部分内容可能由 AI 生成）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771592">
    <w:lvl>
      <w:numFmt w:val="bullet"/>
      <w:suff w:val="tab"/>
      <w:lvlText w:val="•"/>
      <w:rPr>
        <w:color w:val="3370ff"/>
      </w:rPr>
    </w:lvl>
  </w:abstractNum>
  <w:abstractNum w:abstractNumId="1771593">
    <w:lvl>
      <w:numFmt w:val="bullet"/>
      <w:suff w:val="tab"/>
      <w:lvlText w:val="•"/>
      <w:rPr>
        <w:color w:val="3370ff"/>
      </w:rPr>
    </w:lvl>
  </w:abstractNum>
  <w:abstractNum w:abstractNumId="1771594">
    <w:lvl>
      <w:numFmt w:val="bullet"/>
      <w:suff w:val="tab"/>
      <w:lvlText w:val="•"/>
      <w:rPr>
        <w:color w:val="3370ff"/>
      </w:rPr>
    </w:lvl>
  </w:abstractNum>
  <w:abstractNum w:abstractNumId="1771595">
    <w:lvl>
      <w:numFmt w:val="bullet"/>
      <w:suff w:val="tab"/>
      <w:lvlText w:val="•"/>
      <w:rPr>
        <w:color w:val="3370ff"/>
      </w:rPr>
    </w:lvl>
  </w:abstractNum>
  <w:abstractNum w:abstractNumId="1771596">
    <w:lvl>
      <w:numFmt w:val="bullet"/>
      <w:suff w:val="tab"/>
      <w:lvlText w:val="•"/>
      <w:rPr>
        <w:color w:val="3370ff"/>
      </w:rPr>
    </w:lvl>
  </w:abstractNum>
  <w:abstractNum w:abstractNumId="1771597">
    <w:lvl>
      <w:numFmt w:val="bullet"/>
      <w:suff w:val="tab"/>
      <w:lvlText w:val="•"/>
      <w:rPr>
        <w:color w:val="3370ff"/>
      </w:rPr>
    </w:lvl>
  </w:abstractNum>
  <w:abstractNum w:abstractNumId="1771598">
    <w:lvl>
      <w:numFmt w:val="bullet"/>
      <w:suff w:val="tab"/>
      <w:lvlText w:val="•"/>
      <w:rPr>
        <w:color w:val="3370ff"/>
      </w:rPr>
    </w:lvl>
  </w:abstractNum>
  <w:abstractNum w:abstractNumId="1771599">
    <w:lvl>
      <w:numFmt w:val="bullet"/>
      <w:suff w:val="tab"/>
      <w:lvlText w:val="•"/>
      <w:rPr>
        <w:color w:val="3370ff"/>
      </w:rPr>
    </w:lvl>
  </w:abstractNum>
  <w:abstractNum w:abstractNumId="1771600">
    <w:lvl>
      <w:numFmt w:val="bullet"/>
      <w:suff w:val="tab"/>
      <w:lvlText w:val="•"/>
      <w:rPr>
        <w:color w:val="3370ff"/>
      </w:rPr>
    </w:lvl>
  </w:abstractNum>
  <w:abstractNum w:abstractNumId="1771601">
    <w:lvl>
      <w:numFmt w:val="bullet"/>
      <w:suff w:val="tab"/>
      <w:lvlText w:val="•"/>
      <w:rPr>
        <w:color w:val="3370ff"/>
      </w:rPr>
    </w:lvl>
  </w:abstractNum>
  <w:abstractNum w:abstractNumId="1771602">
    <w:lvl>
      <w:numFmt w:val="bullet"/>
      <w:suff w:val="tab"/>
      <w:lvlText w:val="•"/>
      <w:rPr>
        <w:color w:val="3370ff"/>
      </w:rPr>
    </w:lvl>
  </w:abstractNum>
  <w:abstractNum w:abstractNumId="1771603">
    <w:lvl>
      <w:numFmt w:val="bullet"/>
      <w:suff w:val="tab"/>
      <w:lvlText w:val="•"/>
      <w:rPr>
        <w:color w:val="3370ff"/>
      </w:rPr>
    </w:lvl>
  </w:abstractNum>
  <w:abstractNum w:abstractNumId="1771604">
    <w:lvl>
      <w:numFmt w:val="bullet"/>
      <w:suff w:val="tab"/>
      <w:lvlText w:val="•"/>
      <w:rPr>
        <w:color w:val="3370ff"/>
      </w:rPr>
    </w:lvl>
  </w:abstractNum>
  <w:abstractNum w:abstractNumId="1771605">
    <w:lvl>
      <w:numFmt w:val="bullet"/>
      <w:suff w:val="tab"/>
      <w:lvlText w:val="•"/>
      <w:rPr>
        <w:color w:val="3370ff"/>
      </w:rPr>
    </w:lvl>
  </w:abstractNum>
  <w:abstractNum w:abstractNumId="1771606">
    <w:lvl>
      <w:numFmt w:val="bullet"/>
      <w:suff w:val="tab"/>
      <w:lvlText w:val="•"/>
      <w:rPr>
        <w:color w:val="3370ff"/>
      </w:rPr>
    </w:lvl>
  </w:abstractNum>
  <w:abstractNum w:abstractNumId="1771607">
    <w:lvl>
      <w:numFmt w:val="bullet"/>
      <w:suff w:val="tab"/>
      <w:lvlText w:val="•"/>
      <w:rPr>
        <w:color w:val="3370ff"/>
      </w:rPr>
    </w:lvl>
  </w:abstractNum>
  <w:abstractNum w:abstractNumId="1771608">
    <w:lvl>
      <w:numFmt w:val="bullet"/>
      <w:suff w:val="tab"/>
      <w:lvlText w:val="•"/>
      <w:rPr>
        <w:color w:val="3370ff"/>
      </w:rPr>
    </w:lvl>
  </w:abstractNum>
  <w:abstractNum w:abstractNumId="1771609">
    <w:lvl>
      <w:numFmt w:val="bullet"/>
      <w:suff w:val="tab"/>
      <w:lvlText w:val="•"/>
      <w:rPr>
        <w:color w:val="3370ff"/>
      </w:rPr>
    </w:lvl>
  </w:abstractNum>
  <w:abstractNum w:abstractNumId="1771610">
    <w:lvl>
      <w:numFmt w:val="bullet"/>
      <w:suff w:val="tab"/>
      <w:lvlText w:val="•"/>
      <w:rPr>
        <w:color w:val="3370ff"/>
      </w:rPr>
    </w:lvl>
  </w:abstractNum>
  <w:abstractNum w:abstractNumId="1771611">
    <w:lvl>
      <w:numFmt w:val="bullet"/>
      <w:suff w:val="tab"/>
      <w:lvlText w:val="•"/>
      <w:rPr>
        <w:color w:val="3370ff"/>
      </w:rPr>
    </w:lvl>
  </w:abstractNum>
  <w:abstractNum w:abstractNumId="1771612">
    <w:lvl>
      <w:numFmt w:val="bullet"/>
      <w:suff w:val="tab"/>
      <w:lvlText w:val="•"/>
      <w:rPr>
        <w:color w:val="3370ff"/>
      </w:rPr>
    </w:lvl>
  </w:abstractNum>
  <w:abstractNum w:abstractNumId="1771613">
    <w:lvl>
      <w:numFmt w:val="bullet"/>
      <w:suff w:val="tab"/>
      <w:lvlText w:val="•"/>
      <w:rPr>
        <w:color w:val="3370ff"/>
      </w:rPr>
    </w:lvl>
  </w:abstractNum>
  <w:abstractNum w:abstractNumId="1771614">
    <w:lvl>
      <w:numFmt w:val="bullet"/>
      <w:suff w:val="tab"/>
      <w:lvlText w:val="•"/>
      <w:rPr>
        <w:color w:val="3370ff"/>
      </w:rPr>
    </w:lvl>
  </w:abstractNum>
  <w:abstractNum w:abstractNumId="1771615">
    <w:lvl>
      <w:numFmt w:val="bullet"/>
      <w:suff w:val="tab"/>
      <w:lvlText w:val="•"/>
      <w:rPr>
        <w:color w:val="3370ff"/>
      </w:rPr>
    </w:lvl>
  </w:abstractNum>
  <w:abstractNum w:abstractNumId="1771616">
    <w:lvl>
      <w:numFmt w:val="bullet"/>
      <w:suff w:val="tab"/>
      <w:lvlText w:val="•"/>
      <w:rPr>
        <w:color w:val="3370ff"/>
      </w:rPr>
    </w:lvl>
  </w:abstractNum>
  <w:abstractNum w:abstractNumId="1771617">
    <w:lvl>
      <w:numFmt w:val="bullet"/>
      <w:suff w:val="tab"/>
      <w:lvlText w:val="•"/>
      <w:rPr>
        <w:color w:val="3370ff"/>
      </w:rPr>
    </w:lvl>
  </w:abstractNum>
  <w:num w:numId="1">
    <w:abstractNumId w:val="1771592"/>
  </w:num>
  <w:num w:numId="2">
    <w:abstractNumId w:val="1771593"/>
  </w:num>
  <w:num w:numId="3">
    <w:abstractNumId w:val="1771594"/>
  </w:num>
  <w:num w:numId="4">
    <w:abstractNumId w:val="1771595"/>
  </w:num>
  <w:num w:numId="5">
    <w:abstractNumId w:val="1771596"/>
  </w:num>
  <w:num w:numId="6">
    <w:abstractNumId w:val="1771597"/>
  </w:num>
  <w:num w:numId="7">
    <w:abstractNumId w:val="1771598"/>
  </w:num>
  <w:num w:numId="8">
    <w:abstractNumId w:val="1771599"/>
  </w:num>
  <w:num w:numId="9">
    <w:abstractNumId w:val="1771600"/>
  </w:num>
  <w:num w:numId="10">
    <w:abstractNumId w:val="1771601"/>
  </w:num>
  <w:num w:numId="11">
    <w:abstractNumId w:val="1771602"/>
  </w:num>
  <w:num w:numId="12">
    <w:abstractNumId w:val="1771603"/>
  </w:num>
  <w:num w:numId="13">
    <w:abstractNumId w:val="1771604"/>
  </w:num>
  <w:num w:numId="14">
    <w:abstractNumId w:val="1771605"/>
  </w:num>
  <w:num w:numId="15">
    <w:abstractNumId w:val="1771606"/>
  </w:num>
  <w:num w:numId="16">
    <w:abstractNumId w:val="1771607"/>
  </w:num>
  <w:num w:numId="17">
    <w:abstractNumId w:val="1771608"/>
  </w:num>
  <w:num w:numId="18">
    <w:abstractNumId w:val="1771609"/>
  </w:num>
  <w:num w:numId="19">
    <w:abstractNumId w:val="1771610"/>
  </w:num>
  <w:num w:numId="20">
    <w:abstractNumId w:val="1771611"/>
  </w:num>
  <w:num w:numId="21">
    <w:abstractNumId w:val="1771612"/>
  </w:num>
  <w:num w:numId="22">
    <w:abstractNumId w:val="1771613"/>
  </w:num>
  <w:num w:numId="23">
    <w:abstractNumId w:val="1771614"/>
  </w:num>
  <w:num w:numId="24">
    <w:abstractNumId w:val="1771615"/>
  </w:num>
  <w:num w:numId="25">
    <w:abstractNumId w:val="1771616"/>
  </w:num>
  <w:num w:numId="26">
    <w:abstractNumId w:val="1771617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2026-07-16T03:14:08Z</dcterms:created>
  <dc:creator>Apache POI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{"Label":"1","ContentProducer":"001191110102MACQD9K64010000","ProduceID":"7662958865928260582","ReservedCode1":"","ContentPropagator":"","PropagateID":"","ReservedCode2":""}</vt:lpwstr>
  </property>
</Properties>
</file>