
<file path=[Content_Types].xml><?xml version="1.0" encoding="utf-8"?>
<Types xmlns="http://schemas.openxmlformats.org/package/2006/content-types"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0" w:name="heading_0"/>
    </w:p>
    <w:p>
      <w:p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bidi w:val="0"/>
        <w:jc w:val="both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>
      <w:pPr>
        <w:bidi w:val="0"/>
        <w:jc w:val="center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概要设计说明书</w:t>
      </w:r>
    </w:p>
    <w:p>
      <w:pPr>
        <w:bidi w:val="0"/>
        <w:jc w:val="center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>
      <w:pPr>
        <w:spacing w:line="360" w:lineRule="auto"/>
        <w:outlineLvl w:val="0"/>
        <w:rPr>
          <w:rFonts w:hint="eastAsia" w:ascii="宋体" w:hAnsi="宋体" w:eastAsia="宋体" w:cs="宋体"/>
          <w:color w:val="0000FF"/>
          <w:sz w:val="28"/>
          <w:szCs w:val="28"/>
        </w:rPr>
      </w:pPr>
      <w:bookmarkStart w:id="1" w:name="_Toc32607"/>
      <w:bookmarkStart w:id="2" w:name="_Toc7552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项目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编号:JLSZC20250063703</w:t>
      </w:r>
      <w:bookmarkEnd w:id="1"/>
      <w:bookmarkEnd w:id="2"/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autoSpaceDE w:val="0"/>
        <w:autoSpaceDN w:val="0"/>
        <w:adjustRightInd w:val="0"/>
        <w:jc w:val="left"/>
        <w:outlineLvl w:val="0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3" w:name="_Toc20815"/>
      <w:bookmarkStart w:id="4" w:name="_Toc2922"/>
      <w:r>
        <w:rPr>
          <w:rFonts w:hint="eastAsia" w:ascii="宋体" w:hAnsi="宋体" w:eastAsia="宋体" w:cs="宋体"/>
          <w:b/>
          <w:bCs/>
          <w:sz w:val="28"/>
          <w:szCs w:val="28"/>
        </w:rPr>
        <w:t>项目名称:2024年政务信息化统一建设项目（非涉密部分2）吉林省智慧矫正管理平台项目</w:t>
      </w:r>
      <w:bookmarkEnd w:id="3"/>
      <w:bookmarkEnd w:id="4"/>
    </w:p>
    <w:p>
      <w:pPr>
        <w:spacing w:after="50"/>
        <w:outlineLvl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5" w:name="_Toc23517"/>
      <w:bookmarkStart w:id="6" w:name="_Toc8374"/>
      <w:r>
        <w:rPr>
          <w:rFonts w:hint="eastAsia" w:ascii="宋体" w:hAnsi="宋体" w:eastAsia="宋体" w:cs="宋体"/>
          <w:b/>
          <w:bCs/>
          <w:sz w:val="28"/>
          <w:szCs w:val="28"/>
        </w:rPr>
        <w:t>拟制人:</w:t>
      </w:r>
      <w:r>
        <w:rPr>
          <w:rFonts w:hint="eastAsia" w:ascii="宋体" w:hAnsi="宋体" w:eastAsia="宋体" w:cs="宋体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肖威</w:t>
      </w:r>
      <w:bookmarkEnd w:id="5"/>
      <w:bookmarkEnd w:id="6"/>
    </w:p>
    <w:p>
      <w:pPr>
        <w:spacing w:after="50"/>
        <w:outlineLvl w:val="0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7" w:name="_Toc6875"/>
      <w:bookmarkStart w:id="8" w:name="_Toc15757"/>
      <w:r>
        <w:rPr>
          <w:rFonts w:hint="eastAsia" w:ascii="宋体" w:hAnsi="宋体" w:eastAsia="宋体" w:cs="宋体"/>
          <w:b/>
          <w:bCs/>
          <w:sz w:val="28"/>
          <w:szCs w:val="28"/>
        </w:rPr>
        <w:t xml:space="preserve">批准人: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张远凯</w:t>
      </w:r>
      <w:r>
        <w:rPr>
          <w:rFonts w:hint="eastAsia" w:ascii="宋体" w:hAnsi="宋体" w:eastAsia="宋体" w:cs="宋体"/>
          <w:sz w:val="28"/>
          <w:szCs w:val="28"/>
        </w:rPr>
        <w:t xml:space="preserve">                      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批准日期: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 xml:space="preserve"> 2026-06-</w:t>
      </w:r>
      <w:bookmarkEnd w:id="7"/>
      <w:bookmarkEnd w:id="8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30</w:t>
      </w:r>
    </w:p>
    <w:p>
      <w:pPr>
        <w:spacing w:after="50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9" w:name="_Toc4109"/>
      <w:bookmarkStart w:id="10" w:name="_Toc30164"/>
      <w:r>
        <w:rPr>
          <w:rFonts w:hint="eastAsia" w:ascii="宋体" w:hAnsi="宋体" w:eastAsia="宋体" w:cs="宋体"/>
          <w:b/>
          <w:bCs/>
          <w:sz w:val="28"/>
          <w:szCs w:val="28"/>
        </w:rPr>
        <w:t>更   改   修   订   记   录</w:t>
      </w:r>
      <w:bookmarkEnd w:id="9"/>
      <w:bookmarkEnd w:id="10"/>
    </w:p>
    <w:tbl>
      <w:tblPr>
        <w:tblStyle w:val="10"/>
        <w:tblW w:w="9624" w:type="dxa"/>
        <w:tblInd w:w="199" w:type="dxa"/>
        <w:tblBorders>
          <w:top w:val="double" w:color="auto" w:sz="6" w:space="0"/>
          <w:left w:val="double" w:color="auto" w:sz="6" w:space="0"/>
          <w:bottom w:val="double" w:color="auto" w:sz="6" w:space="0"/>
          <w:right w:val="doub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1"/>
        <w:gridCol w:w="5959"/>
        <w:gridCol w:w="1167"/>
        <w:gridCol w:w="1517"/>
      </w:tblGrid>
      <w:tr>
        <w:tblPrEx>
          <w:tblBorders>
            <w:top w:val="double" w:color="auto" w:sz="6" w:space="0"/>
            <w:left w:val="double" w:color="auto" w:sz="6" w:space="0"/>
            <w:bottom w:val="double" w:color="auto" w:sz="6" w:space="0"/>
            <w:right w:val="doub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981" w:type="dxa"/>
            <w:tcBorders>
              <w:bottom w:val="double" w:color="auto" w:sz="4" w:space="0"/>
            </w:tcBorders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版本</w:t>
            </w:r>
          </w:p>
        </w:tc>
        <w:tc>
          <w:tcPr>
            <w:tcW w:w="5959" w:type="dxa"/>
            <w:tcBorders>
              <w:bottom w:val="double" w:color="auto" w:sz="4" w:space="0"/>
            </w:tcBorders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更 改 / 修 订 内 容</w:t>
            </w:r>
          </w:p>
        </w:tc>
        <w:tc>
          <w:tcPr>
            <w:tcW w:w="1167" w:type="dxa"/>
            <w:tcBorders>
              <w:bottom w:val="double" w:color="auto" w:sz="4" w:space="0"/>
            </w:tcBorders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修改人</w:t>
            </w:r>
          </w:p>
        </w:tc>
        <w:tc>
          <w:tcPr>
            <w:tcW w:w="1517" w:type="dxa"/>
            <w:tcBorders>
              <w:bottom w:val="double" w:color="auto" w:sz="4" w:space="0"/>
            </w:tcBorders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日期</w:t>
            </w:r>
          </w:p>
        </w:tc>
      </w:tr>
      <w:tr>
        <w:tblPrEx>
          <w:tblBorders>
            <w:top w:val="double" w:color="auto" w:sz="6" w:space="0"/>
            <w:left w:val="double" w:color="auto" w:sz="6" w:space="0"/>
            <w:bottom w:val="double" w:color="auto" w:sz="6" w:space="0"/>
            <w:right w:val="doub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1" w:type="dxa"/>
            <w:tcBorders>
              <w:top w:val="double" w:color="auto" w:sz="4" w:space="0"/>
            </w:tcBorders>
            <w:noWrap w:val="0"/>
            <w:vAlign w:val="center"/>
          </w:tcPr>
          <w:p>
            <w:pPr>
              <w:pStyle w:val="4"/>
              <w:numPr>
                <w:ilvl w:val="0"/>
                <w:numId w:val="0"/>
              </w:numPr>
              <w:tabs>
                <w:tab w:val="left" w:pos="420"/>
                <w:tab w:val="left" w:pos="567"/>
              </w:tabs>
              <w:adjustRightInd w:val="0"/>
              <w:spacing w:line="300" w:lineRule="auto"/>
              <w:jc w:val="center"/>
              <w:textAlignment w:val="baseline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V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.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5</w:t>
            </w:r>
          </w:p>
        </w:tc>
        <w:tc>
          <w:tcPr>
            <w:tcW w:w="5959" w:type="dxa"/>
            <w:tcBorders>
              <w:top w:val="double" w:color="auto" w:sz="4" w:space="0"/>
            </w:tcBorders>
            <w:noWrap w:val="0"/>
            <w:vAlign w:val="center"/>
          </w:tcPr>
          <w:p>
            <w:pPr>
              <w:pStyle w:val="4"/>
              <w:numPr>
                <w:ilvl w:val="0"/>
                <w:numId w:val="0"/>
              </w:numPr>
              <w:tabs>
                <w:tab w:val="left" w:pos="420"/>
                <w:tab w:val="left" w:pos="567"/>
              </w:tabs>
              <w:adjustRightInd w:val="0"/>
              <w:spacing w:line="300" w:lineRule="auto"/>
              <w:jc w:val="both"/>
              <w:textAlignment w:val="baseline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文档创建</w:t>
            </w:r>
          </w:p>
        </w:tc>
        <w:tc>
          <w:tcPr>
            <w:tcW w:w="1167" w:type="dxa"/>
            <w:tcBorders>
              <w:top w:val="double" w:color="auto" w:sz="4" w:space="0"/>
            </w:tcBorders>
            <w:noWrap w:val="0"/>
            <w:vAlign w:val="center"/>
          </w:tcPr>
          <w:p>
            <w:pPr>
              <w:pStyle w:val="4"/>
              <w:numPr>
                <w:ilvl w:val="0"/>
                <w:numId w:val="0"/>
              </w:numPr>
              <w:tabs>
                <w:tab w:val="left" w:pos="420"/>
                <w:tab w:val="left" w:pos="567"/>
              </w:tabs>
              <w:adjustRightInd w:val="0"/>
              <w:spacing w:line="300" w:lineRule="auto"/>
              <w:jc w:val="center"/>
              <w:textAlignment w:val="baseline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肖威</w:t>
            </w:r>
          </w:p>
        </w:tc>
        <w:tc>
          <w:tcPr>
            <w:tcW w:w="1517" w:type="dxa"/>
            <w:tcBorders>
              <w:top w:val="double" w:color="auto" w:sz="4" w:space="0"/>
            </w:tcBorders>
            <w:noWrap w:val="0"/>
            <w:vAlign w:val="center"/>
          </w:tcPr>
          <w:p>
            <w:pPr>
              <w:ind w:left="-198" w:right="-108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2026-05-26</w:t>
            </w:r>
          </w:p>
        </w:tc>
      </w:tr>
      <w:tr>
        <w:tblPrEx>
          <w:tblBorders>
            <w:top w:val="double" w:color="auto" w:sz="6" w:space="0"/>
            <w:left w:val="double" w:color="auto" w:sz="6" w:space="0"/>
            <w:bottom w:val="double" w:color="auto" w:sz="6" w:space="0"/>
            <w:right w:val="doub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1" w:type="dxa"/>
            <w:noWrap w:val="0"/>
            <w:vAlign w:val="center"/>
          </w:tcPr>
          <w:p>
            <w:pPr>
              <w:pStyle w:val="4"/>
              <w:numPr>
                <w:ilvl w:val="0"/>
                <w:numId w:val="0"/>
              </w:numPr>
              <w:tabs>
                <w:tab w:val="left" w:pos="420"/>
                <w:tab w:val="left" w:pos="567"/>
              </w:tabs>
              <w:adjustRightInd w:val="0"/>
              <w:spacing w:line="300" w:lineRule="auto"/>
              <w:ind w:left="0" w:leftChars="0" w:firstLine="0" w:firstLineChars="0"/>
              <w:jc w:val="center"/>
              <w:textAlignment w:val="baseline"/>
              <w:rPr>
                <w:rFonts w:hint="default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V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.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 xml:space="preserve">8 </w:t>
            </w:r>
          </w:p>
        </w:tc>
        <w:tc>
          <w:tcPr>
            <w:tcW w:w="5959" w:type="dxa"/>
            <w:noWrap w:val="0"/>
            <w:vAlign w:val="center"/>
          </w:tcPr>
          <w:p>
            <w:pPr>
              <w:pStyle w:val="4"/>
              <w:numPr>
                <w:ilvl w:val="0"/>
                <w:numId w:val="0"/>
              </w:numPr>
              <w:tabs>
                <w:tab w:val="left" w:pos="420"/>
                <w:tab w:val="left" w:pos="567"/>
              </w:tabs>
              <w:adjustRightInd w:val="0"/>
              <w:spacing w:line="300" w:lineRule="auto"/>
              <w:ind w:left="0" w:leftChars="0" w:firstLine="0" w:firstLineChars="0"/>
              <w:jc w:val="both"/>
              <w:textAlignment w:val="baseline"/>
              <w:rPr>
                <w:rFonts w:hint="default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修改人脸识别方案描述，修改生物库设计方案</w:t>
            </w:r>
          </w:p>
        </w:tc>
        <w:tc>
          <w:tcPr>
            <w:tcW w:w="1167" w:type="dxa"/>
            <w:noWrap w:val="0"/>
            <w:vAlign w:val="center"/>
          </w:tcPr>
          <w:p>
            <w:pPr>
              <w:pStyle w:val="4"/>
              <w:numPr>
                <w:ilvl w:val="0"/>
                <w:numId w:val="0"/>
              </w:numPr>
              <w:tabs>
                <w:tab w:val="left" w:pos="420"/>
                <w:tab w:val="left" w:pos="567"/>
              </w:tabs>
              <w:adjustRightInd w:val="0"/>
              <w:spacing w:line="300" w:lineRule="auto"/>
              <w:ind w:left="0" w:leftChars="0" w:firstLine="0" w:firstLineChars="0"/>
              <w:jc w:val="center"/>
              <w:textAlignment w:val="baseline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王春阳</w:t>
            </w:r>
          </w:p>
        </w:tc>
        <w:tc>
          <w:tcPr>
            <w:tcW w:w="1517" w:type="dxa"/>
            <w:noWrap w:val="0"/>
            <w:vAlign w:val="center"/>
          </w:tcPr>
          <w:p>
            <w:pPr>
              <w:ind w:left="-198" w:leftChars="0" w:right="-108" w:rightChars="0"/>
              <w:jc w:val="center"/>
              <w:rPr>
                <w:rFonts w:hint="default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2026-06-12</w:t>
            </w:r>
          </w:p>
        </w:tc>
      </w:tr>
      <w:tr>
        <w:tblPrEx>
          <w:tblBorders>
            <w:top w:val="double" w:color="auto" w:sz="6" w:space="0"/>
            <w:left w:val="double" w:color="auto" w:sz="6" w:space="0"/>
            <w:bottom w:val="double" w:color="auto" w:sz="6" w:space="0"/>
            <w:right w:val="doub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1" w:type="dxa"/>
            <w:noWrap w:val="0"/>
            <w:vAlign w:val="top"/>
          </w:tcPr>
          <w:p>
            <w:pPr>
              <w:spacing w:line="240" w:lineRule="auto"/>
              <w:jc w:val="center"/>
              <w:rPr>
                <w:rFonts w:hint="default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V1.0</w:t>
            </w:r>
          </w:p>
        </w:tc>
        <w:tc>
          <w:tcPr>
            <w:tcW w:w="5959" w:type="dxa"/>
            <w:noWrap w:val="0"/>
            <w:vAlign w:val="center"/>
          </w:tcPr>
          <w:p>
            <w:pPr>
              <w:spacing w:line="240" w:lineRule="auto"/>
              <w:jc w:val="both"/>
              <w:rPr>
                <w:rFonts w:hint="default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修改软硬件环境章节，补充系统设计内容</w:t>
            </w:r>
          </w:p>
        </w:tc>
        <w:tc>
          <w:tcPr>
            <w:tcW w:w="1167" w:type="dxa"/>
            <w:noWrap w:val="0"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王春阳</w:t>
            </w:r>
          </w:p>
        </w:tc>
        <w:tc>
          <w:tcPr>
            <w:tcW w:w="1517" w:type="dxa"/>
            <w:noWrap w:val="0"/>
            <w:vAlign w:val="center"/>
          </w:tcPr>
          <w:p>
            <w:pPr>
              <w:ind w:left="-198" w:leftChars="0" w:right="-108" w:rightChars="0"/>
              <w:jc w:val="center"/>
              <w:rPr>
                <w:rFonts w:hint="default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2026-06-29</w:t>
            </w:r>
          </w:p>
        </w:tc>
      </w:tr>
    </w:tbl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文档编辑说明：</w:t>
      </w:r>
    </w:p>
    <w:p>
      <w:pPr>
        <w:tabs>
          <w:tab w:val="left" w:pos="1098"/>
        </w:tabs>
        <w:bidi w:val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1、文档蓝色斜体字为填写说明，输出正文时应删除，文档正文修改为正常颜色字体。</w:t>
      </w:r>
    </w:p>
    <w:p>
      <w:pPr>
        <w:tabs>
          <w:tab w:val="left" w:pos="1098"/>
        </w:tabs>
        <w:bidi w:val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文档输出后的修改应采用不同的颜色表示最近的修改的内容，包括删除和新增加的内容。在附近的，对应不同版本的修改尽量用颜色对比鲜明的颜色来区分，颜色不要随便去掉，除非BaseLine或者ReBaseLine。3、每个修改的内容部分应标记此处修改对应的文档的版本号，而且需与修改历史中的版本号和修改内容对应。</w:t>
      </w:r>
    </w:p>
    <w:p>
      <w:pPr>
        <w:snapToGrid w:val="0"/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40"/>
          <w:szCs w:val="40"/>
        </w:rPr>
        <w:t>目 录</w:t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TOC \o "1-3" \h \z \u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_Toc4197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1. 引言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_Toc4197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_Toc19519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1.1 标识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_Toc19519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_Toc3068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1.2 系统概述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_Toc3068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_Toc13588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1.3 文档概述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_Toc13588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_Toc31310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1.4 基线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_Toc31310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_Toc15566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2. 引用文件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_Toc15566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_Toc951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3. 系统级设计决策（含设计方法和标准）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_Toc951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_Toc29933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3.1 总体设计决策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_Toc29933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_Toc15337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3.2 设计方法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_Toc15337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_Toc4553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3.3 设计标准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_Toc4553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_Toc24479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 系统体系结构设计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_Toc24479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_Toc22505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4.1 体系结构（程序（模块）划分、程序（模块）层次结构关系）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_Toc22505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5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_Toc6421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4.1.1 程序模块划分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_Toc6421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5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_Toc10536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4.1.2 模块层次结构关系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_Toc10536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8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_Toc18716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4.2 全局数据结构说明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_Toc18716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9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_Toc22501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4.3 软件配置项部件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_Toc22501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10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_Toc521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4.4 执行概念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_Toc521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11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_Toc22738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4.5 接口概念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_Toc22738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11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_Toc2761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5. 系统测试设计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_Toc2761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12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_Toc28703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6. 系统运行设计（反映实际操作环境：硬件、软件、支持软件）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_Toc28703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13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_Toc13278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6.1 硬件运行环境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_Toc13278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13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_Toc7440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6.2 系统软件环境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_Toc7440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14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_Toc21786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6.3 支撑软件环境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_Toc21786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14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_Toc24392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7. 系统维护设计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_Toc24392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_Toc16974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7.1 日常维护设计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_Toc16974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_Toc2882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7.2 数据维护设计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_Toc2882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_Toc13890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7.3 故障维护设计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_Toc13890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9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_Toc20442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7.4 迭代维护设计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_Toc20442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15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_Toc28347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8. 需求的可追踪性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_Toc28347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16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pStyle w:val="8"/>
        <w:tabs>
          <w:tab w:val="right" w:leader="dot" w:pos="8305"/>
        </w:tabs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HYPERLINK \l _Toc23761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9. 注解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PAGEREF _Toc23761 \h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16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tabs>
          <w:tab w:val="left" w:pos="1098"/>
        </w:tabs>
        <w:bidi w:val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br w:type="page"/>
      </w: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11" w:name="_Toc4197"/>
      <w:r>
        <w:rPr>
          <w:rFonts w:hint="eastAsia" w:ascii="宋体" w:hAnsi="宋体" w:eastAsia="宋体" w:cs="宋体"/>
          <w:b/>
          <w:sz w:val="28"/>
          <w:szCs w:val="28"/>
        </w:rPr>
        <w:t>1. 引言</w:t>
      </w:r>
      <w:bookmarkEnd w:id="0"/>
      <w:bookmarkEnd w:id="11"/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12" w:name="heading_1"/>
      <w:bookmarkStart w:id="13" w:name="_Toc19519"/>
      <w:r>
        <w:rPr>
          <w:rFonts w:hint="eastAsia" w:ascii="宋体" w:hAnsi="宋体" w:eastAsia="宋体" w:cs="宋体"/>
          <w:b/>
          <w:sz w:val="28"/>
          <w:szCs w:val="28"/>
        </w:rPr>
        <w:t>1.1 标识</w:t>
      </w:r>
      <w:bookmarkEnd w:id="12"/>
      <w:bookmarkEnd w:id="13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本文档为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【2024年政务信息化统一建设项目（非涉密部分2）吉林省智慧矫正管理平台项目】</w:t>
      </w:r>
      <w:r>
        <w:rPr>
          <w:rFonts w:hint="eastAsia" w:ascii="宋体" w:hAnsi="宋体" w:eastAsia="宋体" w:cs="宋体"/>
          <w:sz w:val="28"/>
          <w:szCs w:val="28"/>
        </w:rPr>
        <w:t>（以下简称“本系统”）的概要设计说明书，是系统开发阶段的核心纲领性技术文档。文档用于明确系统整体设计方案、架构体系、技术标准、测试及运维规范，界定系统开发的技术边界与实施准则，为详细设计、编码开发、测试验收、部署运维、后期维护全流程工作提供统一技术依据，同时作为项目审批、评审、归档的正式技术文件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14" w:name="_Toc3068"/>
      <w:bookmarkStart w:id="15" w:name="heading_2"/>
      <w:r>
        <w:rPr>
          <w:rFonts w:hint="eastAsia" w:ascii="宋体" w:hAnsi="宋体" w:eastAsia="宋体" w:cs="宋体"/>
          <w:b/>
          <w:sz w:val="28"/>
          <w:szCs w:val="28"/>
        </w:rPr>
        <w:t>1.2 系统概述</w:t>
      </w:r>
      <w:bookmarkEnd w:id="14"/>
      <w:bookmarkEnd w:id="15"/>
    </w:p>
    <w:p>
      <w:pPr>
        <w:spacing w:before="120" w:after="120" w:line="288" w:lineRule="auto"/>
        <w:ind w:firstLine="560" w:firstLineChars="200"/>
        <w:jc w:val="left"/>
        <w:rPr>
          <w:rFonts w:ascii="仿宋" w:hAnsi="仿宋" w:cs="Arial"/>
          <w:sz w:val="22"/>
        </w:rPr>
      </w:pPr>
      <w:bookmarkStart w:id="16" w:name="_Toc13588"/>
      <w:bookmarkStart w:id="17" w:name="heading_3"/>
      <w:r>
        <w:rPr>
          <w:rFonts w:hint="eastAsia" w:ascii="宋体" w:hAnsi="宋体" w:eastAsia="宋体" w:cs="宋体"/>
          <w:sz w:val="28"/>
          <w:szCs w:val="28"/>
        </w:rPr>
        <w:t>本项目为吉林省智慧矫正管理平台建设项目，旨在构建覆盖全省、上下联动、智能高效的社区矫正信息化管理体系。项目建设主体为吉林省司法行政主管部门，建设周期自项目启动至系统正式上线运行，项目覆盖范围包括吉林省各级司法行政机关、社区矫正机构及相关协作单位，服务对象涵盖社区矫正工作人员、矫正对象及相关政府部门工作人员。项目核心价值在于通过信息化手段规范矫正业务流程、提升监管服务智能化水平、打破信息壁垒、优化资源配置，助力吉林省社区矫正工作高质量发展，为社会治理现代化提供坚实支撑</w:t>
      </w:r>
      <w:r>
        <w:rPr>
          <w:rFonts w:hint="eastAsia" w:ascii="仿宋" w:hAnsi="仿宋" w:cs="Arial"/>
          <w:sz w:val="22"/>
        </w:rPr>
        <w:t>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1.3 文档概述</w:t>
      </w:r>
      <w:bookmarkEnd w:id="16"/>
      <w:bookmarkEnd w:id="17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本文档依据项目建设需求、国家及行业软件开发规范编制，完整阐述本系统的整体设计思路、技术决策、体系架构、模块划分、数据结构、接口规范、测试方案、运行环境、维护机制及需求追踪关系。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文档核心内容包含系统整体设计准则、体系结构设计、全局数据设计、软硬件配置、测试运维方案等，精准衔接前期需求分析成果，指导后期详细设计、代码开发、系统测试、部署上线、运维保障等全流程工作。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本文档适用对象为项目建设单位、开发团队、测试团队、运维团队及评审审批人员，是系统开发实施、项目评审、验收归档、后期运维的法定技术依据，所有系统开发及运维工作均需以本文档规范为执行标准。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18" w:name="_Toc31310"/>
      <w:bookmarkStart w:id="19" w:name="heading_4"/>
      <w:r>
        <w:rPr>
          <w:rFonts w:hint="eastAsia" w:ascii="宋体" w:hAnsi="宋体" w:eastAsia="宋体" w:cs="宋体"/>
          <w:b/>
          <w:sz w:val="28"/>
          <w:szCs w:val="28"/>
        </w:rPr>
        <w:t>1.4 基线</w:t>
      </w:r>
      <w:bookmarkEnd w:id="18"/>
      <w:bookmarkEnd w:id="19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本系统概要设计基线以《系统需求规格说明书（V1.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sz w:val="28"/>
          <w:szCs w:val="28"/>
        </w:rPr>
        <w:t>）》为核心需求基线，以国家软件工程开发标准、行业信息化建设规范为技术基线，确定本次概要设计的内容范围、技术标准、功能边界，形成固定的设计基线版本。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文档当前版本为V1.0，为系统初始概要设计基线版本，未经正式评审、审批及版本变更流程，不得随意修改文档内容及核心设计方案。后续若因业务需求变更、技术优化等原因需要调整设计内容，需通过正式变更流程更新文档版本，重新确立新的设计基线，并留存变更记录归档。</w:t>
      </w: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20" w:name="heading_5"/>
      <w:bookmarkStart w:id="21" w:name="_Toc15566"/>
      <w:r>
        <w:rPr>
          <w:rFonts w:hint="eastAsia" w:ascii="宋体" w:hAnsi="宋体" w:eastAsia="宋体" w:cs="宋体"/>
          <w:b/>
          <w:sz w:val="28"/>
          <w:szCs w:val="28"/>
        </w:rPr>
        <w:t>2. 引用文件</w:t>
      </w:r>
      <w:bookmarkEnd w:id="20"/>
      <w:bookmarkEnd w:id="21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本系统概要设计严格遵循国家、行业标准及项目相关文件，主要引用文件如下：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《GB/T 19001-2016 质量管理体系 要求》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《GB/T 20157-2006 信息技术 软件生存周期过程》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《GB/T 9385-2008 计算机软件需求规格说明规范》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《GB/T 9386-2008 计算机软件测试文档编制规范》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5. 《信息安全技术 信息系统安全等级保护定级指南》（GB/T22240）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6. </w:t>
      </w:r>
      <w:r>
        <w:rPr>
          <w:rFonts w:hint="eastAsia" w:ascii="宋体" w:hAnsi="宋体" w:eastAsia="宋体" w:cs="宋体"/>
          <w:sz w:val="28"/>
          <w:szCs w:val="28"/>
        </w:rPr>
        <w:t>《信息安全技术 云计算服务安全指南》（GB/T31167）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7. </w:t>
      </w:r>
      <w:r>
        <w:rPr>
          <w:rFonts w:hint="eastAsia" w:ascii="宋体" w:hAnsi="宋体" w:eastAsia="宋体" w:cs="宋体"/>
          <w:sz w:val="28"/>
          <w:szCs w:val="28"/>
        </w:rPr>
        <w:t>《信息安全技术 云计算服务安全能力要求》（GB/T31168）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8. </w:t>
      </w:r>
      <w:r>
        <w:rPr>
          <w:rFonts w:hint="eastAsia" w:ascii="宋体" w:hAnsi="宋体" w:eastAsia="宋体" w:cs="宋体"/>
          <w:sz w:val="28"/>
          <w:szCs w:val="28"/>
        </w:rPr>
        <w:t>《关于加快推进“智慧矫正”建设的实施意见》（司法部）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9. </w:t>
      </w:r>
      <w:r>
        <w:rPr>
          <w:rFonts w:hint="eastAsia" w:ascii="宋体" w:hAnsi="宋体" w:eastAsia="宋体" w:cs="宋体"/>
          <w:sz w:val="28"/>
          <w:szCs w:val="28"/>
        </w:rPr>
        <w:t>《社区矫正基础业务系统技术规范》（司法部）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10. </w:t>
      </w:r>
      <w:r>
        <w:rPr>
          <w:rFonts w:hint="eastAsia" w:ascii="宋体" w:hAnsi="宋体" w:eastAsia="宋体" w:cs="宋体"/>
          <w:sz w:val="28"/>
          <w:szCs w:val="28"/>
        </w:rPr>
        <w:t>吉林省政务信息化“十四五”规划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11</w:t>
      </w:r>
      <w:r>
        <w:rPr>
          <w:rFonts w:hint="eastAsia" w:ascii="宋体" w:hAnsi="宋体" w:eastAsia="宋体" w:cs="宋体"/>
          <w:sz w:val="28"/>
          <w:szCs w:val="28"/>
        </w:rPr>
        <w:t>. 本项目《系统需求规格说明书》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12</w:t>
      </w:r>
      <w:r>
        <w:rPr>
          <w:rFonts w:hint="eastAsia" w:ascii="宋体" w:hAnsi="宋体" w:eastAsia="宋体" w:cs="宋体"/>
          <w:sz w:val="28"/>
          <w:szCs w:val="28"/>
        </w:rPr>
        <w:t>. 吉林省司法行政系统信息化建设相关管理规定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13</w:t>
      </w:r>
      <w:r>
        <w:rPr>
          <w:rFonts w:hint="eastAsia" w:ascii="宋体" w:hAnsi="宋体" w:eastAsia="宋体" w:cs="宋体"/>
          <w:sz w:val="28"/>
          <w:szCs w:val="28"/>
        </w:rPr>
        <w:t>. 项目立项批复文件、建设方案及评审纪要</w:t>
      </w: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22" w:name="heading_6"/>
      <w:bookmarkStart w:id="23" w:name="_Toc951"/>
      <w:r>
        <w:rPr>
          <w:rFonts w:hint="eastAsia" w:ascii="宋体" w:hAnsi="宋体" w:eastAsia="宋体" w:cs="宋体"/>
          <w:b/>
          <w:sz w:val="28"/>
          <w:szCs w:val="28"/>
        </w:rPr>
        <w:t>3. 系统级设计决策</w:t>
      </w:r>
      <w:bookmarkEnd w:id="22"/>
      <w:bookmarkEnd w:id="23"/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24" w:name="heading_7"/>
      <w:bookmarkStart w:id="25" w:name="_Toc29933"/>
      <w:r>
        <w:rPr>
          <w:rFonts w:hint="eastAsia" w:ascii="宋体" w:hAnsi="宋体" w:eastAsia="宋体" w:cs="宋体"/>
          <w:b/>
          <w:sz w:val="28"/>
          <w:szCs w:val="28"/>
        </w:rPr>
        <w:t>3.1 总体设计决策</w:t>
      </w:r>
      <w:bookmarkEnd w:id="24"/>
      <w:bookmarkEnd w:id="25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本章节为吉林省智慧矫正管理平台概要设计的顶层技术与业务决策，是系统架构、模块实现、接口规范、数据安全、部署运维必须统一遵守的系统级约束，所有详细设计、开发、测试工作均以此为依据。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26" w:name="_Toc15337"/>
      <w:bookmarkStart w:id="27" w:name="heading_8"/>
      <w:r>
        <w:rPr>
          <w:rFonts w:hint="eastAsia" w:ascii="宋体" w:hAnsi="宋体" w:eastAsia="宋体" w:cs="宋体"/>
          <w:b/>
          <w:sz w:val="28"/>
          <w:szCs w:val="28"/>
        </w:rPr>
        <w:t>3.2 设计方法</w:t>
      </w:r>
      <w:bookmarkEnd w:id="26"/>
      <w:bookmarkEnd w:id="27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架构设计方法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采用面向服务的微服务架构（Microservices）</w:t>
      </w:r>
    </w:p>
    <w:p>
      <w:pPr>
        <w:numPr>
          <w:ilvl w:val="0"/>
          <w:numId w:val="2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基于业务域驱动设计（DDD）划分服务边界</w:t>
      </w:r>
    </w:p>
    <w:p>
      <w:pPr>
        <w:numPr>
          <w:ilvl w:val="0"/>
          <w:numId w:val="2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遵循前后端分离、组件化、可复用设计思想</w:t>
      </w:r>
    </w:p>
    <w:p>
      <w:pPr>
        <w:numPr>
          <w:ilvl w:val="0"/>
          <w:numId w:val="2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采用中台化支撑：用户中台、权限中台、流程中台、消息中台、文件中台</w:t>
      </w:r>
    </w:p>
    <w:p>
      <w:pPr>
        <w:numPr>
          <w:ilvl w:val="0"/>
          <w:numId w:val="2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满足纵向五级贯通、横向部门协同的分布式业务模型</w:t>
      </w:r>
    </w:p>
    <w:p>
      <w:pPr>
        <w:numPr>
          <w:ilvl w:val="0"/>
          <w:numId w:val="3"/>
        </w:num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开发设计方法</w:t>
      </w:r>
    </w:p>
    <w:p>
      <w:pPr>
        <w:numPr>
          <w:ilvl w:val="0"/>
          <w:numId w:val="4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统一采用瀑布 + 迭代模式：需求→概要→详细→开发→测试→上线</w:t>
      </w:r>
    </w:p>
    <w:p>
      <w:pPr>
        <w:numPr>
          <w:ilvl w:val="0"/>
          <w:numId w:val="4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接口优先设计：API First，所有内外交互先定义接口再实现</w:t>
      </w:r>
    </w:p>
    <w:p>
      <w:pPr>
        <w:numPr>
          <w:ilvl w:val="0"/>
          <w:numId w:val="4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全链路可追溯设计：操作日志、业务日志、异常日志统一采集</w:t>
      </w:r>
    </w:p>
    <w:p>
      <w:pPr>
        <w:numPr>
          <w:ilvl w:val="0"/>
          <w:numId w:val="4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配置化而非编码化：流程、表单、文书、告警规则支持可视化配置</w:t>
      </w:r>
    </w:p>
    <w:p>
      <w:pPr>
        <w:numPr>
          <w:ilvl w:val="0"/>
          <w:numId w:val="3"/>
        </w:num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数据设计方法</w:t>
      </w:r>
    </w:p>
    <w:p>
      <w:pPr>
        <w:numPr>
          <w:ilvl w:val="0"/>
          <w:numId w:val="5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遵循第三范式（3NF）为主，适度冗余为辅</w:t>
      </w:r>
    </w:p>
    <w:p>
      <w:pPr>
        <w:numPr>
          <w:ilvl w:val="0"/>
          <w:numId w:val="5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全业务唯一主体 ID：以矫正对象 ID 贯穿全生命周期</w:t>
      </w:r>
    </w:p>
    <w:p>
      <w:pPr>
        <w:numPr>
          <w:ilvl w:val="0"/>
          <w:numId w:val="5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逻辑删除统一规则：is_deleted = 0/1</w:t>
      </w:r>
    </w:p>
    <w:p>
      <w:pPr>
        <w:numPr>
          <w:ilvl w:val="0"/>
          <w:numId w:val="5"/>
        </w:numPr>
        <w:spacing w:before="120" w:after="120" w:line="288" w:lineRule="auto"/>
        <w:ind w:left="840" w:leftChars="0" w:hanging="42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敏感数据加密存储、脱敏展示、审计访问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28" w:name="_Toc4553"/>
      <w:bookmarkStart w:id="29" w:name="heading_9"/>
      <w:r>
        <w:rPr>
          <w:rFonts w:hint="eastAsia" w:ascii="宋体" w:hAnsi="宋体" w:eastAsia="宋体" w:cs="宋体"/>
          <w:b/>
          <w:sz w:val="28"/>
          <w:szCs w:val="28"/>
        </w:rPr>
        <w:t>3.3 设计标准</w:t>
      </w:r>
      <w:bookmarkEnd w:id="28"/>
      <w:bookmarkEnd w:id="29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规范性标准：严格遵循国家软件工程文档规范、代码编写规范、数据字典规范，统一命名规则、注释规范、文档格式，保障项目标准化实施。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可靠性标准：系统支持7×24小时稳定运行，支持多用户高并发访问，具备异常容错、故障自动恢复、数据备份恢复能力。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安全性标准：满足权限分级管控、数据加密传输、操作日志全程追溯、防越权访问、防数据篡改等安全要求。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可拓展性标准：架构预留拓展接口，支持功能新增、模块升级、业务扩容、多终端适配。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5. 可维护性标准：模块结构清晰、代码规范、日志完整、运维便捷，降低后期运维成本与故障排查难度。</w:t>
      </w: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30" w:name="heading_10"/>
      <w:bookmarkStart w:id="31" w:name="_Toc24479"/>
      <w:r>
        <w:rPr>
          <w:rFonts w:hint="eastAsia" w:ascii="宋体" w:hAnsi="宋体" w:eastAsia="宋体" w:cs="宋体"/>
          <w:b/>
          <w:sz w:val="28"/>
          <w:szCs w:val="28"/>
        </w:rPr>
        <w:t>4. 系统体系结构设计</w:t>
      </w:r>
      <w:bookmarkEnd w:id="30"/>
      <w:bookmarkEnd w:id="31"/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32" w:name="_Toc22505"/>
      <w:bookmarkStart w:id="33" w:name="heading_11"/>
      <w:r>
        <w:rPr>
          <w:rFonts w:hint="eastAsia" w:ascii="宋体" w:hAnsi="宋体" w:eastAsia="宋体" w:cs="宋体"/>
          <w:b/>
          <w:sz w:val="28"/>
          <w:szCs w:val="28"/>
        </w:rPr>
        <w:t>4.1 体系结构</w:t>
      </w:r>
      <w:bookmarkEnd w:id="32"/>
      <w:bookmarkEnd w:id="33"/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b/>
          <w:sz w:val="28"/>
          <w:szCs w:val="28"/>
        </w:rPr>
      </w:pPr>
      <w:bookmarkStart w:id="34" w:name="heading_12"/>
      <w:bookmarkStart w:id="35" w:name="_Toc6421"/>
      <w:bookmarkStart w:id="36" w:name="OLE_LINK2"/>
      <w:r>
        <w:rPr>
          <w:rFonts w:hint="eastAsia" w:ascii="宋体" w:hAnsi="宋体" w:eastAsia="宋体" w:cs="宋体"/>
          <w:b/>
          <w:sz w:val="28"/>
          <w:szCs w:val="28"/>
        </w:rPr>
        <w:t xml:space="preserve">4.1.1 </w:t>
      </w:r>
      <w:bookmarkStart w:id="37" w:name="OLE_LINK1"/>
      <w:r>
        <w:rPr>
          <w:rFonts w:hint="eastAsia" w:ascii="宋体" w:hAnsi="宋体" w:eastAsia="宋体" w:cs="宋体"/>
          <w:b/>
          <w:sz w:val="28"/>
          <w:szCs w:val="28"/>
        </w:rPr>
        <w:t>程序模块划分</w:t>
      </w:r>
      <w:bookmarkEnd w:id="34"/>
      <w:bookmarkEnd w:id="35"/>
      <w:bookmarkEnd w:id="37"/>
    </w:p>
    <w:bookmarkEnd w:id="36"/>
    <w:p>
      <w:p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系统程序模块划分</w:t>
      </w:r>
      <w:r>
        <w:rPr>
          <w:rFonts w:hint="eastAsia" w:ascii="宋体" w:hAnsi="宋体" w:eastAsia="宋体" w:cs="宋体"/>
          <w:sz w:val="28"/>
          <w:szCs w:val="32"/>
        </w:rPr>
        <w:t>遵循司法部标准：SF/T 0081、SF/T 0015、SF/T 0016 等智慧矫正规范</w:t>
      </w:r>
      <w:r>
        <w:rPr>
          <w:rFonts w:hint="eastAsia" w:ascii="宋体" w:hAnsi="宋体" w:eastAsia="宋体" w:cs="宋体"/>
          <w:sz w:val="28"/>
          <w:szCs w:val="32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对社区矫正业务全生命周期闭环，并将智慧硬件统一接入。</w:t>
      </w:r>
    </w:p>
    <w:p>
      <w:p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平台程序模块划分为九大子系统，包括：</w:t>
      </w:r>
    </w:p>
    <w:p>
      <w:pPr>
        <w:spacing w:before="300" w:after="120" w:line="288" w:lineRule="auto"/>
        <w:ind w:left="0" w:firstLine="500" w:firstLineChars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1、</w:t>
      </w:r>
      <w:r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  <w:t>基础支撑子系统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统一认证、统一授权、SSO、RBAC 权限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机构队伍管理、用户管理、角色菜单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字典管理、流程配置、表单配置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日志审计、操作日志、接口日志、敏感日志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消息中心、短信、推送、待办提醒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>系统配置、数据备份、定时任务</w:t>
      </w:r>
    </w:p>
    <w:p>
      <w:pPr>
        <w:spacing w:before="300" w:after="120" w:line="288" w:lineRule="auto"/>
        <w:ind w:left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2、智慧矫正门户</w:t>
      </w:r>
      <w:r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  <w:t>系统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default"/>
          <w:sz w:val="28"/>
          <w:szCs w:val="32"/>
          <w:lang w:val="en-US" w:eastAsia="zh-CN"/>
        </w:rPr>
        <w:t>统一登录入口、工作台、待办中心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default"/>
          <w:sz w:val="28"/>
          <w:szCs w:val="32"/>
          <w:lang w:val="en-US" w:eastAsia="zh-CN"/>
        </w:rPr>
        <w:t>领导驾驶舱、数据看板、可视化大屏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default"/>
          <w:sz w:val="28"/>
          <w:szCs w:val="32"/>
          <w:lang w:val="en-US" w:eastAsia="zh-CN"/>
        </w:rPr>
        <w:t>矫务公开、通知公告、政策法规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default"/>
          <w:sz w:val="28"/>
          <w:szCs w:val="32"/>
          <w:lang w:val="en-US" w:eastAsia="zh-CN"/>
        </w:rPr>
        <w:t>一网通办入口、外部系统跳转</w:t>
      </w:r>
    </w:p>
    <w:p>
      <w:pPr>
        <w:spacing w:before="300" w:after="120" w:line="288" w:lineRule="auto"/>
        <w:ind w:left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3、调查评估子系统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委托接收、自动 / 线下录入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台账管理、时限提醒、超期督办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评估小组管理、实地调查、9 项必核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保证人管理、笔录 / 音视频采集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评估意见书、反馈法院 / 抄送检察院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打印、签章、归档</w:t>
      </w:r>
    </w:p>
    <w:p>
      <w:pPr>
        <w:spacing w:before="300" w:after="120" w:line="288" w:lineRule="auto"/>
        <w:ind w:left="0" w:firstLine="0" w:firstLineChars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4、入矫管理子系统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文书接收、自动同步法院 / 监狱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报到登记、生物特征采集（人脸 / 指纹 / 声纹）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矫正小组组建、责任书签署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入矫宣告、不公开宣告（未成年人）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矫正方案制定、风险评估、分类管理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档案自动立档、一人一档</w:t>
      </w:r>
    </w:p>
    <w:p>
      <w:pPr>
        <w:spacing w:before="300" w:after="120" w:line="288" w:lineRule="auto"/>
        <w:ind w:left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5、监督管理子系统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日常报告、外出审批、执行地变更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分类管控（严管 / 普管 / 宽管）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实地查访、家访、视频查访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考核奖惩、表扬、训诫、警告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收监执行、撤销缓刑 / 假释、暂予监外执行收监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突发事件处置、脱漏管管理</w:t>
      </w:r>
    </w:p>
    <w:p>
      <w:pPr>
        <w:spacing w:before="300" w:after="120" w:line="288" w:lineRule="auto"/>
        <w:ind w:left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6、定位监管子系统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电子围栏、区域管控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实时定位、轨迹回放、停留分析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告警管理（越界、关机、低电、静默、拆卸）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告警派单、核查、处置、闭环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设备管理、定位终端、在线率统计</w:t>
      </w:r>
    </w:p>
    <w:p>
      <w:pPr>
        <w:spacing w:before="300" w:after="120" w:line="288" w:lineRule="auto"/>
        <w:ind w:left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7、教育帮扶子系统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集中教育、个别教育、社区服务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远程教育、在线学习、学时统计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心理测评、心理咨询、危机干预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精准帮扶、就业、救助、社保、法律援助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帮扶记录、效果跟踪</w:t>
      </w:r>
    </w:p>
    <w:p>
      <w:pPr>
        <w:spacing w:before="300" w:after="120" w:line="288" w:lineRule="auto"/>
        <w:ind w:left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8、移动应用子系统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default"/>
          <w:sz w:val="28"/>
          <w:szCs w:val="32"/>
          <w:lang w:val="en-US" w:eastAsia="zh-CN"/>
        </w:rPr>
        <w:t>矫务通（</w:t>
      </w:r>
      <w:r>
        <w:rPr>
          <w:rFonts w:hint="eastAsia"/>
          <w:sz w:val="28"/>
          <w:szCs w:val="32"/>
          <w:lang w:val="en-US" w:eastAsia="zh-CN"/>
        </w:rPr>
        <w:t>社矫局</w:t>
      </w:r>
      <w:r>
        <w:rPr>
          <w:rFonts w:hint="default"/>
          <w:sz w:val="28"/>
          <w:szCs w:val="32"/>
          <w:lang w:val="en-US" w:eastAsia="zh-CN"/>
        </w:rPr>
        <w:t>工作人员）：待办、点验、查访、告警处置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default"/>
          <w:sz w:val="28"/>
          <w:szCs w:val="32"/>
          <w:lang w:val="en-US" w:eastAsia="zh-CN"/>
        </w:rPr>
        <w:t>在矫通（矫正对象）：报到、签到、报告、学习、请假</w:t>
      </w:r>
    </w:p>
    <w:p>
      <w:pPr>
        <w:numPr>
          <w:ilvl w:val="0"/>
          <w:numId w:val="6"/>
        </w:num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eastAsia"/>
          <w:sz w:val="28"/>
          <w:szCs w:val="32"/>
          <w:lang w:val="en-US" w:eastAsia="zh-CN"/>
        </w:rPr>
        <w:t>协矫通（非社矫局的政府工作人员）：协助查访、线下教育签到、公益活动签到、安置帮教协助。</w:t>
      </w:r>
    </w:p>
    <w:p>
      <w:pPr>
        <w:spacing w:before="300" w:after="120" w:line="288" w:lineRule="auto"/>
        <w:ind w:left="0"/>
        <w:jc w:val="left"/>
        <w:outlineLvl w:val="3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9、指挥决策与协同子系统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统计分析、报表、台账、导出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智能分析、风险预警、态势研判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指挥中心、视频督察、视频点名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跨部门协同（法院、检察、公安、监狱）</w:t>
      </w:r>
    </w:p>
    <w:p>
      <w:pPr>
        <w:numPr>
          <w:ilvl w:val="0"/>
          <w:numId w:val="6"/>
        </w:num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安置帮教对接、数据同步</w:t>
      </w:r>
    </w:p>
    <w:p>
      <w:pPr>
        <w:numPr>
          <w:ilvl w:val="0"/>
          <w:numId w:val="6"/>
        </w:numPr>
        <w:bidi w:val="0"/>
        <w:rPr>
          <w:rFonts w:hint="default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AI 应用：语音转写、智能回访、风险评分</w:t>
      </w:r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sz w:val="28"/>
          <w:szCs w:val="28"/>
        </w:rPr>
      </w:pPr>
      <w:bookmarkStart w:id="38" w:name="_Toc10536"/>
      <w:bookmarkStart w:id="39" w:name="heading_13"/>
      <w:r>
        <w:rPr>
          <w:rFonts w:hint="eastAsia" w:ascii="宋体" w:hAnsi="宋体" w:eastAsia="宋体" w:cs="宋体"/>
          <w:b/>
          <w:sz w:val="28"/>
          <w:szCs w:val="28"/>
        </w:rPr>
        <w:t>4.1.2 模块层次结构关系</w:t>
      </w:r>
      <w:bookmarkEnd w:id="38"/>
      <w:bookmarkEnd w:id="39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系统整体采用五层结构、逐级依赖、无环调用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层次体系以业务闭环、技术解耦、权责清晰为核心导向，构建自上而下逐级支撑、横向协同有序的整体架构，确保各层次之间边界明确、依赖关系稳定且无反向调用，在满足社区矫正全业务流程贯通的同时，保障系统具备良好的扩展性、稳定性与可维护性。整体设计严格遵循纵向贯穿省、市、县、司法所四级管理体系，横向衔接法院、检察、公安、监狱等协同部门的业务协同要求，统一数据标准、统一权限体系、统一接入规范、统一调度机制，实现基础能力向下收敛、业务能力向上聚合、应用服务灵活适配的一体化架构目标，使各层次既可独立演进升级，又能无缝协同支撑全平台业务运行。</w:t>
      </w:r>
    </w:p>
    <w:p>
      <w:pPr>
        <w:numPr>
          <w:ilvl w:val="0"/>
          <w:numId w:val="7"/>
        </w:numPr>
        <w:bidi w:val="0"/>
        <w:spacing w:line="480" w:lineRule="auto"/>
        <w:ind w:left="425" w:leftChars="0" w:hanging="425" w:firstLineChars="0"/>
        <w:rPr>
          <w:rFonts w:hint="eastAsia" w:ascii="宋体" w:hAnsi="宋体" w:eastAsia="宋体" w:cs="宋体"/>
          <w:sz w:val="28"/>
          <w:szCs w:val="32"/>
        </w:rPr>
      </w:pPr>
      <w:bookmarkStart w:id="40" w:name="_Toc18716"/>
      <w:bookmarkStart w:id="41" w:name="heading_14"/>
      <w:r>
        <w:rPr>
          <w:rFonts w:hint="eastAsia" w:ascii="宋体" w:hAnsi="宋体" w:eastAsia="宋体" w:cs="宋体"/>
          <w:sz w:val="28"/>
          <w:szCs w:val="32"/>
        </w:rPr>
        <w:t>接入层 → PC 端、移动端、自助终端、外部设备</w:t>
      </w:r>
    </w:p>
    <w:p>
      <w:pPr>
        <w:numPr>
          <w:ilvl w:val="0"/>
          <w:numId w:val="7"/>
        </w:numPr>
        <w:bidi w:val="0"/>
        <w:spacing w:line="480" w:lineRule="auto"/>
        <w:ind w:left="425" w:leftChars="0" w:hanging="425" w:firstLine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应用层 → 业务子系统、门户、指挥中心</w:t>
      </w:r>
    </w:p>
    <w:p>
      <w:pPr>
        <w:numPr>
          <w:ilvl w:val="0"/>
          <w:numId w:val="7"/>
        </w:numPr>
        <w:bidi w:val="0"/>
        <w:spacing w:line="480" w:lineRule="auto"/>
        <w:ind w:left="425" w:leftChars="0" w:hanging="425" w:firstLine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服务层 → 微服务模块、能力中心、业务引擎</w:t>
      </w:r>
    </w:p>
    <w:p>
      <w:pPr>
        <w:numPr>
          <w:ilvl w:val="0"/>
          <w:numId w:val="7"/>
        </w:numPr>
        <w:bidi w:val="0"/>
        <w:spacing w:line="480" w:lineRule="auto"/>
        <w:ind w:left="425" w:leftChars="0" w:hanging="425" w:firstLine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支撑层 → 公共组件、工具、中间件、数据服务</w:t>
      </w:r>
    </w:p>
    <w:p>
      <w:pPr>
        <w:numPr>
          <w:ilvl w:val="0"/>
          <w:numId w:val="7"/>
        </w:numPr>
        <w:bidi w:val="0"/>
        <w:spacing w:line="480" w:lineRule="auto"/>
        <w:ind w:left="425" w:leftChars="0" w:hanging="425" w:firstLine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基础设施层 → 云平台、数据库、存储、网络、安全</w:t>
      </w:r>
    </w:p>
    <w:p>
      <w:pPr>
        <w:spacing w:before="300" w:after="120" w:line="288" w:lineRule="auto"/>
        <w:ind w:left="0"/>
        <w:jc w:val="left"/>
        <w:outlineLvl w:val="2"/>
        <w:rPr>
          <w:rFonts w:hint="default" w:ascii="宋体" w:hAnsi="宋体" w:eastAsia="宋体" w:cs="宋体"/>
          <w:b/>
          <w:sz w:val="28"/>
          <w:szCs w:val="28"/>
          <w:lang w:val="en-US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4.1.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系统总体架构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依据党中央、国务院、司法部、</w:t>
      </w:r>
      <w:r>
        <w:rPr>
          <w:rFonts w:hint="eastAsia" w:ascii="宋体" w:hAnsi="宋体" w:eastAsia="宋体" w:cs="宋体"/>
          <w:sz w:val="28"/>
          <w:szCs w:val="32"/>
          <w:lang w:eastAsia="zh-CN"/>
        </w:rPr>
        <w:t>辽宁</w:t>
      </w:r>
      <w:r>
        <w:rPr>
          <w:rFonts w:hint="eastAsia" w:ascii="宋体" w:hAnsi="宋体" w:eastAsia="宋体" w:cs="宋体"/>
          <w:sz w:val="28"/>
          <w:szCs w:val="32"/>
        </w:rPr>
        <w:t>省对信息化工作的总体要求和指导意见，根据司法部《“数字法治 智慧司法”信息化体系建设指导意见》及司法部办公厅《关于加快推进全国“智慧矫正”建设的实施意见》，结合</w:t>
      </w:r>
      <w:r>
        <w:rPr>
          <w:rFonts w:hint="eastAsia" w:ascii="宋体" w:hAnsi="宋体" w:eastAsia="宋体" w:cs="宋体"/>
          <w:sz w:val="28"/>
          <w:szCs w:val="32"/>
          <w:lang w:eastAsia="zh-CN"/>
        </w:rPr>
        <w:t>辽宁</w:t>
      </w:r>
      <w:r>
        <w:rPr>
          <w:rFonts w:hint="eastAsia" w:ascii="宋体" w:hAnsi="宋体" w:eastAsia="宋体" w:cs="宋体"/>
          <w:sz w:val="28"/>
          <w:szCs w:val="32"/>
        </w:rPr>
        <w:t>省司法行政相关系统的信息化实际情况，分析、总结现有社区矫正综合管理平台信息化工作的经验和教训，形成</w:t>
      </w:r>
      <w:r>
        <w:rPr>
          <w:rFonts w:hint="eastAsia" w:ascii="宋体" w:hAnsi="宋体" w:eastAsia="宋体" w:cs="宋体"/>
          <w:sz w:val="28"/>
          <w:szCs w:val="32"/>
          <w:lang w:eastAsia="zh-CN"/>
        </w:rPr>
        <w:t>辽宁</w:t>
      </w:r>
      <w:r>
        <w:rPr>
          <w:rFonts w:hint="eastAsia" w:ascii="宋体" w:hAnsi="宋体" w:eastAsia="宋体" w:cs="宋体"/>
          <w:sz w:val="28"/>
          <w:szCs w:val="32"/>
        </w:rPr>
        <w:t>省社区矫正系统建设信息化总体架构。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总体架构采用五层三体系框架，五层从上到下依次包括用户接入层、业务应用层、人工智能层、应用支撑层、数据资源层；三个体系包括标准规范支撑体系、网络安全支撑体系和运维服务支撑体系。通过大数据服务、数据交换对接服务、各类应用服务，提供多维度的分析评估、智能方案推荐等服务支撑，提高社区矫正的智能化业务管理能力；通过社区矫正数据中心，支持数据的储存、调用、推送、查询等功能，对社区矫正业务智能化运作提供数据支撑；通过标准规范、安全保障和运维服务三大体系支撑，确保</w:t>
      </w:r>
      <w:r>
        <w:rPr>
          <w:rFonts w:hint="eastAsia" w:ascii="宋体" w:hAnsi="宋体" w:eastAsia="宋体" w:cs="宋体"/>
          <w:sz w:val="28"/>
          <w:szCs w:val="32"/>
          <w:lang w:eastAsia="zh-CN"/>
        </w:rPr>
        <w:t>辽宁</w:t>
      </w:r>
      <w:r>
        <w:rPr>
          <w:rFonts w:hint="eastAsia" w:ascii="宋体" w:hAnsi="宋体" w:eastAsia="宋体" w:cs="宋体"/>
          <w:sz w:val="28"/>
          <w:szCs w:val="32"/>
        </w:rPr>
        <w:t>省“智慧矫正”平台项目建设的统一规范、互联互通、业务协同、数据共享等功能安全稳定运行。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智慧矫正总体架构包括基础设施层、数据资源层、服务支撑层和业务应用层，以及智慧矫正信息化标准体系、安全保障体系和运行维护体系。各层具体内容如下：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基础设施层：包括网络设施、云服务平台、物联感知设施和社区矫正指挥中心设施；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数据资源层：包括社区矫正数据资源、数据共享交换平台和数据资源管理。社区矫正数据中心是数据资源层的载体；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服务支撑层：包括基础服务、人工智能服务、大数据服务和音视频服务；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业务应用层：包括部、省级社区矫正一体化平台；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1）部、省级社区矫正一体化平台包括基础业务、定位监管、远程视频督察、远程教育、远程帮扶、心理辅导、协同应用、矫务公开、统计分析、辅助决策和智慧化融合，智慧化融合业务包括大数据应用、人工智能应用、移动互联应用和物联网应用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2）省级社区矫正一体化平台供省（区、市）、地（市、州）级、县（市、区）级、乡镇（街道）级四级进行使用；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智慧矫正信息化标准体系：包括各层所需的标准和规范；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智慧矫正信息化安全保障体系：为各层提供安全技术保障；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</w:rPr>
      </w:pPr>
      <w:r>
        <w:rPr>
          <w:rFonts w:hint="eastAsia" w:ascii="宋体" w:hAnsi="宋体" w:eastAsia="宋体" w:cs="宋体"/>
          <w:sz w:val="28"/>
          <w:szCs w:val="32"/>
        </w:rPr>
        <w:t>智慧矫正信息化运行维护体系：为各层稳定可靠运行提供管理与服务支撑。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ascii="Arial" w:hAnsi="Arial" w:eastAsia="Times New Roman" w:cs="Verdana"/>
          <w:b/>
          <w:kern w:val="0"/>
          <w:sz w:val="24"/>
          <w:szCs w:val="32"/>
          <w:lang w:eastAsia="en-US"/>
        </w:rPr>
      </w:pPr>
      <w:r>
        <w:rPr>
          <w:rFonts w:ascii="Arial" w:hAnsi="Arial" w:eastAsia="Times New Roman" w:cs="Verdana"/>
          <w:b/>
          <w:kern w:val="0"/>
          <w:sz w:val="24"/>
          <w:szCs w:val="32"/>
          <w:lang w:eastAsia="en-US"/>
        </w:rPr>
        <w:drawing>
          <wp:inline distT="0" distB="0" distL="114300" distR="114300">
            <wp:extent cx="5274310" cy="6677660"/>
            <wp:effectExtent l="0" t="0" r="1397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7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00" w:after="120" w:line="288" w:lineRule="auto"/>
        <w:ind w:left="0"/>
        <w:jc w:val="left"/>
        <w:outlineLvl w:val="2"/>
        <w:rPr>
          <w:rFonts w:hint="default" w:ascii="宋体" w:hAnsi="宋体" w:eastAsia="宋体" w:cs="宋体"/>
          <w:b/>
          <w:sz w:val="28"/>
          <w:szCs w:val="28"/>
          <w:lang w:val="en-US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4.1.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4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系统技术架构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  <w:lang w:eastAsia="en-US"/>
        </w:rPr>
      </w:pPr>
      <w:r>
        <w:rPr>
          <w:rFonts w:hint="eastAsia" w:ascii="宋体" w:hAnsi="宋体" w:eastAsia="宋体" w:cs="宋体"/>
          <w:sz w:val="28"/>
          <w:szCs w:val="32"/>
          <w:lang w:eastAsia="en-US"/>
        </w:rPr>
        <w:t>技术架构层面，总体采用B/S架构研发，包含web端、APP端应用内容。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  <w:lang w:eastAsia="en-US"/>
        </w:rPr>
      </w:pPr>
      <w:r>
        <w:rPr>
          <w:rFonts w:hint="eastAsia" w:ascii="宋体" w:hAnsi="宋体" w:eastAsia="宋体" w:cs="宋体"/>
          <w:sz w:val="28"/>
          <w:szCs w:val="32"/>
          <w:lang w:eastAsia="en-US"/>
        </w:rPr>
        <w:t>主流的开发技术和框架，前后端分离架构：前端选用Vue</w:t>
      </w:r>
      <w:r>
        <w:rPr>
          <w:rFonts w:hint="eastAsia" w:ascii="宋体" w:hAnsi="宋体" w:eastAsia="宋体" w:cs="宋体"/>
          <w:sz w:val="28"/>
          <w:szCs w:val="32"/>
          <w:lang w:val="en-US" w:eastAsia="zh-CN"/>
        </w:rPr>
        <w:t xml:space="preserve"> + UniAPP</w:t>
      </w:r>
      <w:r>
        <w:rPr>
          <w:rFonts w:hint="eastAsia" w:ascii="宋体" w:hAnsi="宋体" w:eastAsia="宋体" w:cs="宋体"/>
          <w:sz w:val="28"/>
          <w:szCs w:val="32"/>
          <w:lang w:eastAsia="en-US"/>
        </w:rPr>
        <w:t>框架，采用组件化的思路进行设计；后端选用Java/Spring Boot和Spring Cloud框架，采用微服务架构,基于云原生的最佳实践开发。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  <w:lang w:eastAsia="en-US"/>
        </w:rPr>
      </w:pPr>
      <w:r>
        <w:rPr>
          <w:rFonts w:hint="eastAsia" w:ascii="宋体" w:hAnsi="宋体" w:eastAsia="宋体" w:cs="宋体"/>
          <w:sz w:val="28"/>
          <w:szCs w:val="32"/>
          <w:lang w:eastAsia="en-US"/>
        </w:rPr>
        <w:t>网关层统一限流，确保系统的安全稳定，防止恶意攻击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  <w:lang w:eastAsia="en-US"/>
        </w:rPr>
      </w:pPr>
      <w:r>
        <w:rPr>
          <w:rFonts w:hint="eastAsia" w:ascii="宋体" w:hAnsi="宋体" w:eastAsia="宋体" w:cs="宋体"/>
          <w:sz w:val="28"/>
          <w:szCs w:val="32"/>
          <w:lang w:eastAsia="en-US"/>
        </w:rPr>
        <w:t>微服务部署模式，支持集群部署，确保系统高可用性，高性能应用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  <w:lang w:eastAsia="en-US"/>
        </w:rPr>
      </w:pPr>
      <w:r>
        <w:rPr>
          <w:rFonts w:hint="eastAsia" w:ascii="宋体" w:hAnsi="宋体" w:eastAsia="宋体" w:cs="宋体"/>
          <w:sz w:val="28"/>
          <w:szCs w:val="32"/>
          <w:lang w:eastAsia="en-US"/>
        </w:rPr>
        <w:t>数据库等采用主流技术，具备良好的可扩展性和可维护性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ascii="Arial" w:hAnsi="Arial" w:eastAsia="Times New Roman" w:cs="Verdana"/>
          <w:b/>
          <w:kern w:val="0"/>
          <w:sz w:val="24"/>
          <w:szCs w:val="32"/>
          <w:lang w:eastAsia="en-US"/>
        </w:rPr>
      </w:pPr>
      <w:r>
        <w:drawing>
          <wp:inline distT="0" distB="0" distL="114300" distR="114300">
            <wp:extent cx="5258435" cy="3789680"/>
            <wp:effectExtent l="0" t="0" r="14605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378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00" w:after="120" w:line="288" w:lineRule="auto"/>
        <w:ind w:left="0"/>
        <w:jc w:val="left"/>
        <w:outlineLvl w:val="2"/>
        <w:rPr>
          <w:rFonts w:hint="default" w:ascii="宋体" w:hAnsi="宋体" w:eastAsia="宋体" w:cs="宋体"/>
          <w:b/>
          <w:sz w:val="28"/>
          <w:szCs w:val="28"/>
          <w:lang w:val="en-US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4.1.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4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系统部署架构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宋体" w:hAnsi="宋体" w:eastAsia="宋体" w:cs="宋体"/>
          <w:sz w:val="28"/>
          <w:szCs w:val="32"/>
          <w:lang w:eastAsia="en-US"/>
        </w:rPr>
      </w:pPr>
      <w:r>
        <w:rPr>
          <w:rFonts w:hint="eastAsia" w:ascii="宋体" w:hAnsi="宋体" w:eastAsia="宋体" w:cs="宋体"/>
          <w:sz w:val="28"/>
          <w:szCs w:val="32"/>
          <w:lang w:eastAsia="en-US"/>
        </w:rPr>
        <w:t>智慧矫正管理平台系统依托</w:t>
      </w:r>
      <w:r>
        <w:rPr>
          <w:rFonts w:hint="eastAsia" w:ascii="宋体" w:hAnsi="宋体" w:eastAsia="宋体" w:cs="宋体"/>
          <w:sz w:val="28"/>
          <w:szCs w:val="32"/>
          <w:lang w:val="en-US" w:eastAsia="en-US"/>
        </w:rPr>
        <w:t>云</w:t>
      </w:r>
      <w:r>
        <w:rPr>
          <w:rFonts w:hint="eastAsia" w:ascii="宋体" w:hAnsi="宋体" w:eastAsia="宋体" w:cs="宋体"/>
          <w:sz w:val="28"/>
          <w:szCs w:val="32"/>
          <w:lang w:eastAsia="en-US"/>
        </w:rPr>
        <w:t>平台，一级部署，供省司法厅、市司法局、县级司法局和司法所4级使用，平台部署架构如下图所示：</w:t>
      </w:r>
    </w:p>
    <w:p>
      <w:pPr>
        <w:numPr>
          <w:ilvl w:val="0"/>
          <w:numId w:val="0"/>
        </w:numPr>
        <w:bidi w:val="0"/>
        <w:spacing w:line="480" w:lineRule="auto"/>
        <w:ind w:leftChars="0"/>
        <w:rPr>
          <w:rFonts w:hint="eastAsia" w:ascii="Arial" w:hAnsi="Arial" w:eastAsia="Times New Roman" w:cs="Verdana"/>
          <w:b/>
          <w:kern w:val="0"/>
          <w:sz w:val="24"/>
          <w:szCs w:val="32"/>
          <w:lang w:eastAsia="en-US"/>
        </w:rPr>
      </w:pPr>
      <w:r>
        <w:rPr>
          <w:rFonts w:ascii="仿宋_GB2312" w:eastAsia="仿宋"/>
          <w:sz w:val="32"/>
          <w:szCs w:val="32"/>
        </w:rPr>
        <w:drawing>
          <wp:inline distT="0" distB="0" distL="114300" distR="114300">
            <wp:extent cx="5667375" cy="2689860"/>
            <wp:effectExtent l="0" t="0" r="190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4.2 全局数据结构说明</w:t>
      </w:r>
      <w:bookmarkEnd w:id="40"/>
      <w:bookmarkEnd w:id="41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平台围绕社区矫正人员全生命周期主线构建全域数据架构，以矫正对象唯一主体编号作为全库关联主键，统筹业务主数据、流程审批数据、智能监管数据、外部协同数据、系统支撑数据五大类数据资源，遵循国家社区矫正业务规范、政务数据标准与信息安全相关法规开展库表结构规划。整体采用省级集中存储、分级分权访问的数据部署模式，依托第三范式完成基础数据表设计，针对高频查询、统计分析场景适度做字段冗余优化，统一数据编码规则、字段命名规范、时间格式、字典体系与数据生命周期管理策略，实现全系统数据同源、口径统一、关联可控、留痕可溯，兼顾业务落地实用性、后期统计扩展性与国密安全合规性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基础数据结构：包含用户数据、角色数据、权限数据、部门数据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等，</w:t>
      </w:r>
      <w:r>
        <w:rPr>
          <w:rFonts w:hint="eastAsia" w:ascii="宋体" w:hAnsi="宋体" w:eastAsia="宋体" w:cs="宋体"/>
          <w:sz w:val="28"/>
          <w:szCs w:val="28"/>
        </w:rPr>
        <w:t>搭建全局统一数据字典库，划分为系统字典与业务字典两类。系统字典包含菜单类型、角色类型、账号状态、接口状态等系统配置类数据；业务字典依据司法部社区矫正规范建立，涵盖矫正类型、罪名类型、风险等级、管控级别、奖惩种类、疾病类型、告警类型等行业标准枚举值，字典数据由省级管理员统一维护，市县及司法所仅可引用不可修改，保障全省业务填报口径统一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业务主体数据结构：对应核心业务场景的业务数据表，存储业务全流程数据，包含新增、编辑、审批、归档全状态数据，数据关联唯一主键，保障业务数据可追溯。全系统统一设计六大主数据唯一编码规则，作为跨表关联核心字段。一是矫正对象 ID，全局终身唯一编号，贯穿入矫至解矫全流程所有业务表，关联档案、监管、教育、告警、生物信息等全部子表；二是组织机构编码，采用省 - 市 - 县 - 司法所四级分段编码，用于管控数据权限、划分业务管辖范围；三是人员编码，区分司法干警、社工、志愿者三类人员，绑定账号权限、经办业务台账；四是文书编号，按年度 + 区划 + 业务类型 + 流水号规则自动生成，各类执法文书编号全局不可重复；五是设备编码，定位终端、指纹采集仪、人脸设备等硬件出厂编号入库，绑定使用场所与对应矫正人员；六是业务单据流水号，调查评估委托单、外出审批单、奖惩审批单等单据统一编码，实现全流程单据追踪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日志数据结构：统一日志数据字段规范，包含操作人、操作时间、操作IP、操作内容、操作结果、异常信息等全局通用字段，所有日志统一存储格式。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全局数据约束：所有数据表设置主键唯一、非空约束、外键关联约束、数据状态约束，禁止脏数据、重复数据产生；所有数据统一编码规则，实现数据标准化管理。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5. 数据存储规则：结构化数据存储于关系型数据库，大文件、附件数据存储于文件服务器，数据路径全局统一配置，支持全局调用。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6. </w:t>
      </w:r>
      <w:r>
        <w:rPr>
          <w:rFonts w:hint="eastAsia" w:ascii="宋体" w:hAnsi="宋体" w:eastAsia="宋体" w:cs="宋体"/>
          <w:sz w:val="28"/>
          <w:szCs w:val="28"/>
        </w:rPr>
        <w:t>人脸特征数据按照市级行政区分库分表存储，热点矫正对象人脸向量缓存至 Redis 分布式缓存，原始人脸采集照片统一存入分布式文件服务；整体采用虹软 Linux Pro 双模型 SDK 支撑峰值 500 路并发人脸比对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>
      <w:pPr>
        <w:spacing w:before="120" w:after="120" w:line="288" w:lineRule="auto"/>
        <w:ind w:left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7. 系统承载全省约3万矫正对象每 15 分钟周期性上报时序定位数据，采用时序数据库 + 达梦 DM8 按月分表 + 分布式文件冷热归档三层存储架构，配套异步消息批量入库、Redis 热点缓存、数据生命周期自动清理机制，解决亿级定位数据入库、查询、归档性能问题，完整处理方案详见 4.7 3 万矫正对象定位数据存储与处理方案。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42" w:name="_Toc22501"/>
      <w:bookmarkStart w:id="43" w:name="heading_15"/>
      <w:r>
        <w:rPr>
          <w:rFonts w:hint="eastAsia" w:ascii="宋体" w:hAnsi="宋体" w:eastAsia="宋体" w:cs="宋体"/>
          <w:b/>
          <w:sz w:val="28"/>
          <w:szCs w:val="28"/>
        </w:rPr>
        <w:t>4.3 软件配置项部件</w:t>
      </w:r>
      <w:bookmarkEnd w:id="42"/>
      <w:bookmarkEnd w:id="43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本系统软件配置项分为基础软件配置、业务软件配置、工具组件配置三大部分，所有配置项统一管理、全局生效：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基础软件配置项：操作系统配置、数据库配置、中间件配置、服务器端口配置、全局参数配置、超时参数配置、缓存配置，支撑系统基础运行环境。</w:t>
      </w:r>
    </w:p>
    <w:p>
      <w:pPr>
        <w:spacing w:before="120" w:after="120" w:line="288" w:lineRule="auto"/>
        <w:ind w:left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2. 业务软件配置项：权限配置、菜单配置、审批流程配置、数据字典配置、报表模板配置、导出模板配置，支撑业务个性化配置与灵活适配。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基于智慧矫正业务，系统提供矫正流程时限配置部件、风险分级规则配置部件、解矫规则配置部件以及教育业务配置部件，按矫正全生命周期拆分配置单元，省级统配基础规则，市级可在权限内微调属地化参数。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工具组件配置项：文件上传组件、数据加密组件、日志采集组件、短信/消息推送组件、图表统计组件、异常监控组件，为系统提供通用技术组件支撑。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所有软件配置项支持后台可视化配置修改，无需修改代码，提升系统适配性与运维便捷性，配置修改全程留痕，可追溯、可回滚。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44" w:name="heading_16"/>
      <w:bookmarkStart w:id="45" w:name="_Toc521"/>
      <w:r>
        <w:rPr>
          <w:rFonts w:hint="eastAsia" w:ascii="宋体" w:hAnsi="宋体" w:eastAsia="宋体" w:cs="宋体"/>
          <w:b/>
          <w:sz w:val="28"/>
          <w:szCs w:val="28"/>
        </w:rPr>
        <w:t>4.4 执行概念</w:t>
      </w:r>
      <w:bookmarkEnd w:id="44"/>
      <w:bookmarkEnd w:id="45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系统整体执行流程遵循“用户请求→权限校验→业务处理→数据持久化→结果返回”的标准化执行逻辑，具体执行机制如下：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用户通过前端界面发起操作请求，系统首先触发身份认证与权限校验，校验不通过直接返回拒绝结果并记录日志；校验通过则进入业务处理流程。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业务层接收请求后，完成数据合法性校验、业务规则校验，调用对应服务层组件完成业务逻辑处理。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处理完成后通过数据层完成数据新增、更新、查询、归档等持久化操作，同步记录操作日志。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最终将处理结果封装后返回前端，完成一次完整请求响应。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系统支持同步执行与异步执行结合，常规查询、编辑操作同步执行；大数据导出、批量处理、消息推送等耗时操作异步执行，避免系统卡顿，提升用户体验。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46" w:name="_Toc22738"/>
      <w:bookmarkStart w:id="47" w:name="heading_17"/>
      <w:r>
        <w:rPr>
          <w:rFonts w:hint="eastAsia" w:ascii="宋体" w:hAnsi="宋体" w:eastAsia="宋体" w:cs="宋体"/>
          <w:b/>
          <w:sz w:val="28"/>
          <w:szCs w:val="28"/>
        </w:rPr>
        <w:t>4.5 接口概念</w:t>
      </w:r>
      <w:bookmarkEnd w:id="46"/>
      <w:bookmarkEnd w:id="47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系统接口遵循统一规范设计，采用RESTful接口风格，实现前后端交互、模块间交互、系统预留外联交互，所有接口统一命名、统一参数格式、统一返回格式、统一加密校验规则。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内部接口：系统各模块之间交互接口，用于模块间数据调用、业务联动，仅内网访问，保障内部数据流转安全。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前后端接口：前端页面与后端服务交互接口，实现用户操作、数据展示、业务提交等功能，统一参数校验、权限拦截。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预留外部接口：预留第三方系统对接接口，支持后期数据互通、系统联动，接口支持鉴权、加密、白名单访问控制。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4. 智能硬件接入接口：完成硬件采集数据上送、平台配置参数下发、设备状态实时回传，包含指纹特征上传、人脸核验、定位点位上报、围栏参数下发等</w:t>
      </w:r>
      <w:bookmarkStart w:id="72" w:name="_GoBack"/>
      <w:bookmarkEnd w:id="72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5. 移动端接入接口：支撑移动端业务填报、远程签到、材料上传、消息接收、预约办理，涵盖日常报到、外出申请、在线学习、告警查看等业务交互。数据流向为外部系统→交换网关→平台业务库、平台→交换网关→外部单位系统，内外网物理隔离、数据摆渡单向可控。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6. 跨部门外部协同接口：实现矫正相关文书双向推送与回执回传，如法院移送社区矫正决定书、检察院法律监督函、公安户籍 / 前科信息查询、监狱假释材料推送。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所有接口均包含异常捕获、超时处理、日志记录机制，支持接口调用监控、故障追溯，保障接口调用稳定可靠。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4.6 人脸识别服务端并发方案</w:t>
      </w:r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b/>
          <w:sz w:val="28"/>
          <w:szCs w:val="28"/>
        </w:rPr>
      </w:pPr>
      <w:bookmarkStart w:id="48" w:name="_Toc2761"/>
      <w:bookmarkStart w:id="49" w:name="heading_18"/>
      <w:r>
        <w:rPr>
          <w:rFonts w:hint="eastAsia" w:ascii="宋体" w:hAnsi="宋体" w:eastAsia="宋体" w:cs="宋体"/>
          <w:b/>
          <w:sz w:val="28"/>
          <w:szCs w:val="28"/>
        </w:rPr>
        <w:t>4.6.1 业务并发场景与算力选型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本系统人脸识别服务端采用虹软 Linux Pro 双模型离线 SDK私有化部署，适配 Linux64 信创服务器环境，支持离线授权、源码二次开发，覆盖全省社区矫正全场景人脸业务：入矫人脸采集、活体核验、移动端在矫通签到、PC 端人脸比对、批量人员风险筛查、全库 1:N 人脸检索。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虹软官方标准算力指标（单台 8 核 16G Xeon 政务云主机等效规格）：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中模型（日常 1:1 签到、活体校验、普通 1:N 检索）：1 万底库 1:N 比对稳定 46QPS，整机最优并发 50 路，单人脸检测耗时＜30ms、双目活体耗时＜6ms；</w:t>
      </w:r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4.6.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人</w:t>
      </w:r>
      <w:r>
        <w:rPr>
          <w:rFonts w:hint="eastAsia" w:ascii="宋体" w:hAnsi="宋体" w:eastAsia="宋体" w:cs="宋体"/>
          <w:b/>
          <w:sz w:val="28"/>
          <w:szCs w:val="28"/>
        </w:rPr>
        <w:t>脸微服务分层架构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独立拆分人脸微服务集群，与矫正主业务系统解耦，分层无状态设计，支持横向弹性扩容：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接入网关层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8"/>
          <w:szCs w:val="28"/>
        </w:rPr>
        <w:t>部署独立网关节点，统一接收 PC 端、移动端 App、人脸采集终端、自助矫正设备人脸报文；完成设备鉴权、国密报文加解密、流量限流、黑白名单拦截、请求分片分发，通过 MQ 实现削峰填谷，隔离瞬时高并发流量冲击推理算力集群。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业务调度层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8"/>
          <w:szCs w:val="28"/>
        </w:rPr>
        <w:t>负责人脸图片预处理、尺寸裁剪、人脸质量校验、机构权限隔离、特征缓存管理、比对结果组装、操作日志持久化；区分实时同步任务与批量异步任务，批量筛查、离线视频解析投递延迟队列错峰执行。</w:t>
      </w:r>
    </w:p>
    <w:p>
      <w:pPr>
        <w:spacing w:before="120" w:after="120" w:line="288" w:lineRule="auto"/>
        <w:ind w:left="0" w:firstLine="500" w:firstLine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人脸识别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层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8"/>
          <w:szCs w:val="28"/>
        </w:rPr>
        <w:t>承载日常签到、1:1 活体核验；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特征存储缓存层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8"/>
          <w:szCs w:val="28"/>
        </w:rPr>
        <w:t>矫正对象人脸特征向量国密加密存入达梦分库分表，原始人脸照片存入分布式文件服务；热点人员人脸特征、机构人脸索引缓存至 Redis，减少数据库高频查询压力。</w:t>
      </w:r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4.6.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集群服务器数量测算与部署配置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虹软中模型算力指标（单台 8 核 16G 政务云主机）：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1 万底库 1:N 比对稳定 46 QPS，整机最优并发 50 路；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人脸检测＜30ms、双目活体＜6ms；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系统峰值并发目标：500 路同步人脸请求，单张人脸全链路（检测 + 活体 + 1:N 比对）响应≤800ms。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使用中模型集群承载全部 500QPS 峰值流量，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5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00 ÷ 46 ≈ 10.87，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峰值需要部署至少11台服务器，才能满足峰值流量。前期仅部署3~4台服务器，后续依据使用人员动态扩容。前期服务器预计需要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人脸接入网关：2 台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（复用）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人脸业务服务：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 xml:space="preserve"> 台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（复用）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Redis 人脸缓存集群：3 节点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（复用）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7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矫正对象定位数据存储与处理方案</w:t>
      </w:r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7</w:t>
      </w:r>
      <w:r>
        <w:rPr>
          <w:rFonts w:hint="eastAsia" w:ascii="宋体" w:hAnsi="宋体" w:eastAsia="宋体" w:cs="宋体"/>
          <w:b/>
          <w:sz w:val="28"/>
          <w:szCs w:val="28"/>
        </w:rPr>
        <w:t>.1 业务数据规模基线</w:t>
      </w:r>
    </w:p>
    <w:p>
      <w:pPr>
        <w:spacing w:before="120" w:after="120" w:line="288" w:lineRule="auto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在册矫正对象总量按 30000 人，定位终端每小时上报 1 条定位报文计算，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单终端日上报点位：24 条 / 天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全平台每日定位上报总量：30000 × 24 = 720,000 条 / 日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全年原始定位数据总量：30000 × 24 × 365 = 262,800,000 条 ≈ 2.628 亿条 / 年</w:t>
      </w:r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7</w:t>
      </w:r>
      <w:r>
        <w:rPr>
          <w:rFonts w:hint="eastAsia" w:ascii="宋体" w:hAnsi="宋体" w:eastAsia="宋体" w:cs="宋体"/>
          <w:b/>
          <w:sz w:val="28"/>
          <w:szCs w:val="28"/>
        </w:rPr>
        <w:t>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数据库分层存储设计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达梦 DM8 关系库分表设计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t_loc_device_status（设备实时状态表）：仍稳定 3 万条，每次上报覆盖更新，地图大屏秒级加载；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t_loc_alarm（定位告警表）：按矫正对象 ID 分表，永久留存执法告警记录；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t_loc_track_month_YYYYMM（月度精简轨迹分表）：按月分表存储，单月数据量：30000 × 24 × 30 = 2160 万条 / 月，分表压力远低于 15 分钟上报方案。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冷数据文件归档，每月定时归档上年度原始轨迹加密压缩存储，数据库仅保留归档索引。</w:t>
      </w:r>
    </w:p>
    <w:p>
      <w:pPr>
        <w:spacing w:before="300" w:after="120" w:line="288" w:lineRule="auto"/>
        <w:ind w:left="0"/>
        <w:jc w:val="left"/>
        <w:outlineLvl w:val="2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4.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7</w:t>
      </w:r>
      <w:r>
        <w:rPr>
          <w:rFonts w:hint="eastAsia" w:ascii="宋体" w:hAnsi="宋体" w:eastAsia="宋体" w:cs="宋体"/>
          <w:b/>
          <w:sz w:val="28"/>
          <w:szCs w:val="28"/>
        </w:rPr>
        <w:t>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数据库性能优化策略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1、添加定位数据分表复合索引、设备唯一索引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2、读写分离设置，降低数据库查询压力</w:t>
      </w:r>
    </w:p>
    <w:p>
      <w:p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3、使用Redis缓存热点数据，每小时刷新最新数据至缓存</w:t>
      </w:r>
    </w:p>
    <w:p>
      <w:pPr>
        <w:spacing w:before="120" w:after="120" w:line="288" w:lineRule="auto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4、原始点位数据：保留 30 天，超过30天归档至归档数据库，归档冷数据保留一年。</w:t>
      </w: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5. 系统测试设计</w:t>
      </w:r>
      <w:bookmarkEnd w:id="48"/>
      <w:bookmarkEnd w:id="49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为保障系统功能完整性、性能稳定性、数据安全性、逻辑严谨性，结合系统架构与业务需求，制定全维度系统测试方案，覆盖系统开发全流程。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单元测试：针对各独立模块、核心接口、工具组件进行单元测试，校验单一功能逻辑正确性，排查代码逻辑漏洞，确保最小功能单元可用。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集成测试：针对模块间联动、接口调用、数据流转进行集成测试，验证各模块协同工作能力，排查模块耦合问题、数据传递异常问题。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3. 软硬件集成测试：针对指纹捺采仪、人脸采集设备、GPS 定位终端、电子签名设备开展联调测试，验证设备指令下发、特征加密上传、指纹 1:1/1:N 比对适配多品牌硬件兼容测试，核验国密加密传输、原始特征不落地等合规约束。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</w:t>
      </w:r>
      <w:r>
        <w:rPr>
          <w:rFonts w:hint="eastAsia" w:ascii="宋体" w:hAnsi="宋体" w:eastAsia="宋体" w:cs="宋体"/>
          <w:sz w:val="28"/>
          <w:szCs w:val="28"/>
        </w:rPr>
        <w:t>. 功能测试：覆盖系统所有菜单功能、业务流程、权限控制、数据操作、报表导出、日志查询等全部业务场景，验证功能与需求一致性。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5</w:t>
      </w:r>
      <w:r>
        <w:rPr>
          <w:rFonts w:hint="eastAsia" w:ascii="宋体" w:hAnsi="宋体" w:eastAsia="宋体" w:cs="宋体"/>
          <w:sz w:val="28"/>
          <w:szCs w:val="28"/>
        </w:rPr>
        <w:t>. 性能测试：模拟多用户并发访问、大数据量操作场景，测试系统响应速度、吞吐量、容错能力、稳定性，保障系统满足常态化运行性能要求。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6</w:t>
      </w:r>
      <w:r>
        <w:rPr>
          <w:rFonts w:hint="eastAsia" w:ascii="宋体" w:hAnsi="宋体" w:eastAsia="宋体" w:cs="宋体"/>
          <w:sz w:val="28"/>
          <w:szCs w:val="28"/>
        </w:rPr>
        <w:t>. 安全测试：测试身份认证、权限隔离、数据加密、防越权访问、防数据篡改、日志审计等安全能力，排查系统安全漏洞。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7</w:t>
      </w:r>
      <w:r>
        <w:rPr>
          <w:rFonts w:hint="eastAsia" w:ascii="宋体" w:hAnsi="宋体" w:eastAsia="宋体" w:cs="宋体"/>
          <w:sz w:val="28"/>
          <w:szCs w:val="28"/>
        </w:rPr>
        <w:t>. 兼容性测试：适配主流浏览器、不同分辨率终端，验证系统界面展示、操作交互的兼容性。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8</w:t>
      </w:r>
      <w:r>
        <w:rPr>
          <w:rFonts w:hint="eastAsia" w:ascii="宋体" w:hAnsi="宋体" w:eastAsia="宋体" w:cs="宋体"/>
          <w:sz w:val="28"/>
          <w:szCs w:val="28"/>
        </w:rPr>
        <w:t>. 回归测试：系统优化、bug修复、版本迭代后，对核心功能、关联功能进行回归测试，确保修改不影响原有正常功能。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9. 外部对接专项测试：对接法院、检察院、公安、监狱协同接口，模拟文书下发、回执回传、身份信息查询、前科协查等真实交互场景，完成报文加解密、CA 验签、异常报文容错、断点续传校验，模拟外网异常、链路中断场景验证数据重传与日志留存能力。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所有测试过程留存测试用例、测试记录、缺陷整改记录，形成完整测试文档，作为系统验收依据。</w:t>
      </w: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50" w:name="_Toc28703"/>
      <w:bookmarkStart w:id="51" w:name="heading_19"/>
      <w:r>
        <w:rPr>
          <w:rFonts w:hint="eastAsia" w:ascii="宋体" w:hAnsi="宋体" w:eastAsia="宋体" w:cs="宋体"/>
          <w:b/>
          <w:sz w:val="28"/>
          <w:szCs w:val="28"/>
        </w:rPr>
        <w:t>6. 系统运行设计</w:t>
      </w:r>
      <w:bookmarkEnd w:id="50"/>
      <w:bookmarkEnd w:id="51"/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52" w:name="_Toc13278"/>
      <w:bookmarkStart w:id="53" w:name="heading_20"/>
      <w:r>
        <w:rPr>
          <w:rFonts w:hint="eastAsia" w:ascii="宋体" w:hAnsi="宋体" w:eastAsia="宋体" w:cs="宋体"/>
          <w:b/>
          <w:sz w:val="28"/>
          <w:szCs w:val="28"/>
        </w:rPr>
        <w:t>6.1 硬件运行环境</w:t>
      </w:r>
      <w:bookmarkEnd w:id="52"/>
      <w:bookmarkEnd w:id="53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平台整体依托吉林祥云政务云平台提供云主机、云存储、负载均衡、安全组件等全栈硬件资源，部署于吉林省政务外网资源池，采用云资源分区部署模式，按照前端接入区、应用服务区、数据库区、物联接入区、备份存储区划分云资源逻辑分区；</w:t>
      </w:r>
    </w:p>
    <w:p>
      <w:pPr>
        <w:numPr>
          <w:ilvl w:val="0"/>
          <w:numId w:val="0"/>
        </w:numPr>
        <w:spacing w:before="120" w:after="120" w:line="288" w:lineRule="auto"/>
        <w:ind w:firstLine="500" w:firstLineChars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云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服务器硬件</w:t>
      </w:r>
      <w:r>
        <w:rPr>
          <w:rFonts w:hint="eastAsia" w:ascii="宋体" w:hAnsi="宋体" w:eastAsia="宋体" w:cs="宋体"/>
          <w:sz w:val="28"/>
          <w:szCs w:val="28"/>
        </w:rPr>
        <w:t xml:space="preserve">：CPU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8</w:t>
      </w:r>
      <w:r>
        <w:rPr>
          <w:rFonts w:hint="eastAsia" w:ascii="宋体" w:hAnsi="宋体" w:eastAsia="宋体" w:cs="宋体"/>
          <w:sz w:val="28"/>
          <w:szCs w:val="28"/>
        </w:rPr>
        <w:t>核及以上、内存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16</w:t>
      </w:r>
      <w:r>
        <w:rPr>
          <w:rFonts w:hint="eastAsia" w:ascii="宋体" w:hAnsi="宋体" w:eastAsia="宋体" w:cs="宋体"/>
          <w:sz w:val="28"/>
          <w:szCs w:val="28"/>
        </w:rPr>
        <w:t>G及以上、硬盘500G及以上固态硬盘，支持高并发、大数据量存储与运算；配备双电源保障，避免断电故障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>
      <w:pPr>
        <w:numPr>
          <w:ilvl w:val="0"/>
          <w:numId w:val="0"/>
        </w:numPr>
        <w:spacing w:before="120" w:after="120" w:line="288" w:lineRule="auto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政务云服务器需要8</w:t>
      </w:r>
      <w:r>
        <w:rPr>
          <w:rFonts w:hint="eastAsia" w:ascii="宋体" w:hAnsi="宋体" w:eastAsia="宋体" w:cs="宋体"/>
          <w:sz w:val="28"/>
          <w:szCs w:val="28"/>
        </w:rPr>
        <w:t>-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12</w:t>
      </w:r>
      <w:r>
        <w:rPr>
          <w:rFonts w:hint="eastAsia" w:ascii="宋体" w:hAnsi="宋体" w:eastAsia="宋体" w:cs="宋体"/>
          <w:sz w:val="28"/>
          <w:szCs w:val="28"/>
        </w:rPr>
        <w:t>个，可弹性扩展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主要部署主业务数据库、应用服务器、GIS服务器、模型服务器、文件服务器以及电子档案服务器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；</w:t>
      </w:r>
    </w:p>
    <w:p>
      <w:pPr>
        <w:numPr>
          <w:ilvl w:val="0"/>
          <w:numId w:val="0"/>
        </w:numPr>
        <w:spacing w:before="120" w:after="120" w:line="288" w:lineRule="auto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公网云服务器需要8-12个，可弹性扩展，主要为人脸识别服务器、移动应用app服务器、电子定位对接服务器、远程学习服务器、语音转写服务器以及自助矫正硬件对接服务器。其中其中人脸识别集群采用虹软 Linux Pro 双模型离线推理 SDK，前期部署 4 台 8 核 16G 计算型云主机，支撑全省前期100 路人脸并发核验，后续随人员规模进行并发扩展；定位对接服务器集群独立承载 全省矫正对象每 15 分钟周期性定位报文接收、解析、实时告警运算，配套消息队列集群削峰处理海量时序上报数据。</w:t>
      </w:r>
    </w:p>
    <w:p>
      <w:pPr>
        <w:numPr>
          <w:ilvl w:val="0"/>
          <w:numId w:val="0"/>
        </w:numPr>
        <w:spacing w:before="120" w:after="120" w:line="288" w:lineRule="auto"/>
        <w:ind w:firstLine="500" w:firstLineChars="0"/>
        <w:jc w:val="left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网络环境</w:t>
      </w:r>
      <w:r>
        <w:rPr>
          <w:rFonts w:hint="eastAsia" w:ascii="宋体" w:hAnsi="宋体" w:eastAsia="宋体" w:cs="宋体"/>
          <w:sz w:val="28"/>
          <w:szCs w:val="28"/>
        </w:rPr>
        <w:t>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省级节点</w:t>
      </w:r>
      <w:r>
        <w:rPr>
          <w:rFonts w:hint="eastAsia" w:ascii="宋体" w:hAnsi="宋体" w:eastAsia="宋体" w:cs="宋体"/>
          <w:sz w:val="28"/>
          <w:szCs w:val="28"/>
        </w:rPr>
        <w:t>内网专用网络，带宽100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0</w:t>
      </w:r>
      <w:r>
        <w:rPr>
          <w:rFonts w:hint="eastAsia" w:ascii="宋体" w:hAnsi="宋体" w:eastAsia="宋体" w:cs="宋体"/>
          <w:sz w:val="28"/>
          <w:szCs w:val="28"/>
        </w:rPr>
        <w:t>M及以上，网络稳定无延迟、无丢包，支持多终端同时接入访问。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高带宽</w:t>
      </w:r>
      <w:r>
        <w:rPr>
          <w:rFonts w:hint="eastAsia" w:ascii="宋体" w:hAnsi="宋体" w:eastAsia="宋体" w:cs="宋体"/>
          <w:sz w:val="28"/>
          <w:szCs w:val="28"/>
        </w:rPr>
        <w:t>承载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全省</w:t>
      </w:r>
      <w:r>
        <w:rPr>
          <w:rFonts w:hint="eastAsia" w:ascii="宋体" w:hAnsi="宋体" w:eastAsia="宋体" w:cs="宋体"/>
          <w:sz w:val="28"/>
          <w:szCs w:val="28"/>
        </w:rPr>
        <w:t>视频督察、人脸比对、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以及</w:t>
      </w:r>
      <w:r>
        <w:rPr>
          <w:rFonts w:hint="eastAsia" w:ascii="宋体" w:hAnsi="宋体" w:eastAsia="宋体" w:cs="宋体"/>
          <w:sz w:val="28"/>
          <w:szCs w:val="28"/>
        </w:rPr>
        <w:t>全省数据汇聚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终端硬件</w:t>
      </w:r>
      <w:r>
        <w:rPr>
          <w:rFonts w:hint="eastAsia" w:ascii="宋体" w:hAnsi="宋体" w:eastAsia="宋体" w:cs="宋体"/>
          <w:sz w:val="28"/>
          <w:szCs w:val="28"/>
        </w:rPr>
        <w:t>：普通办公电脑、笔记本均可适配，无特殊硬件门槛，满足日常操作使用需求。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推荐配置为：CPU：≥4 核 2.4GHz，内存：≥8GB DDR4，存储：≥500GB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54" w:name="_Toc7440"/>
      <w:bookmarkStart w:id="55" w:name="heading_21"/>
      <w:r>
        <w:rPr>
          <w:rFonts w:hint="eastAsia" w:ascii="宋体" w:hAnsi="宋体" w:eastAsia="宋体" w:cs="宋体"/>
          <w:b/>
          <w:sz w:val="28"/>
          <w:szCs w:val="28"/>
        </w:rPr>
        <w:t>6.2 系统软件环境</w:t>
      </w:r>
      <w:bookmarkEnd w:id="54"/>
      <w:bookmarkEnd w:id="55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服务器操作系统：银河麒麟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等信创服务器操作系统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数据库软件：达梦 DM8主流稳定版本，用于系统所有业务数据、基础数据、日志数据存储管理。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中间件软件：Spring Cloud Alibaba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/ Nacos</w:t>
      </w:r>
      <w:r>
        <w:rPr>
          <w:rFonts w:hint="eastAsia" w:ascii="宋体" w:hAnsi="宋体" w:eastAsia="宋体" w:cs="宋体"/>
          <w:sz w:val="28"/>
          <w:szCs w:val="28"/>
        </w:rPr>
        <w:t>稳定版本，用于项目部署、请求分发、负载均衡。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客户端环境：支持麒麟浏览器等主流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信创版本</w:t>
      </w:r>
      <w:r>
        <w:rPr>
          <w:rFonts w:hint="eastAsia" w:ascii="宋体" w:hAnsi="宋体" w:eastAsia="宋体" w:cs="宋体"/>
          <w:sz w:val="28"/>
          <w:szCs w:val="28"/>
        </w:rPr>
        <w:t>浏览器，无需安装客户端，支持网页直接访问。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5. 技术架构整体采用Vue + Spring Cloud微服务分布式架构的前后端分离协作模式，形成完整、闭环的系统技术运行链路。前端Vue应用独立打包、独立部署、独立迭代，不依赖后端服务，通过HTTPS协议统一请求后端网关地址，由网关完成路由分发、安全校验、流量管控后，转发至对应微服务节点；后端各Java微服务基于Nacos完成自动注册与健康治理，服务之间通过Feign同步调用或消息队列异步解耦调用，完成复杂业务逻辑联动。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整体架构具备极强的扩展性与容错性，前端支持动态路由、组件复用、按需加载，适配页面快速迭代与交互优化；后端支持单服务独立扩容、灰度发布、故障隔离，某一服务故障不会影响整体系统运行，彻底解决传统单体系统耦合高、迭代慢、容错差的问题。整套技术架构为目前企业级Web系统最主流、最成熟的落地方案，开发成本可控、运维成本低、系统稳定性强，完全满足项目长期迭代、高并发访问、安全合规运行的核心需求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技术选型：后端采用基于 Spring Boot 2.x + Spring Cloud 全家桶构建微服务集群，以 Nacos 为核心服务治理中心，统一实现服务注册、发现、动态配置管理；通过 Spring Cloud Gateway 作为统一流量入口，实现路由分发、安全拦截、流量管控。服务内部采用标准化分层开发规范，结合 MyBatis-Plus 实现高效数据操作，集成 Redis 缓存、MQ消息队列、分布式锁、熔断限流组件，构建完整的分布式后端技术体系，支撑复杂业务场景与高并发场景。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前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端采用当前主流的 Vue3 组合式 API + Vite 构建工具开发，具备编译速度快、打包体积小、运行性能高的优势。采用 Pinia 替代 Vuex 实现轻量化全局状态管理，搭配 Vue Router 实现权限路由、动态路由管理；基于 Axios 封装统一请求拦截、响应拦截、全局异常处理、Token 鉴权机制，配合 Element Plus 组件库完成快速页面搭建，实现前端工程化、组件化、规范化开发。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56" w:name="heading_22"/>
      <w:bookmarkStart w:id="57" w:name="_Toc21786"/>
      <w:r>
        <w:rPr>
          <w:rFonts w:hint="eastAsia" w:ascii="宋体" w:hAnsi="宋体" w:eastAsia="宋体" w:cs="宋体"/>
          <w:b/>
          <w:sz w:val="28"/>
          <w:szCs w:val="28"/>
        </w:rPr>
        <w:t>6.3 支撑软件环境</w:t>
      </w:r>
      <w:bookmarkEnd w:id="56"/>
      <w:bookmarkEnd w:id="57"/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数据备份工具：配套自动备份工具，支持定时全量备份、增量备份，保障数据安全。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日志监控工具：支撑系统日志采集、异常监控、性能监控，实时监测系统运行状态。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文件服务工具：支撑附件上传、存储、预览、下载功能，统一管理系统文件资源。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安全防护工具：配备防火墙、访问控制、病毒防护工具，保障服务器及系统运行安全。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5. 项目前端采用Node.js作为前端运行与构建基础环境，支撑Vite工程构建、依赖管理、项目打包编译；适配Chrome，适配主流国产信创浏览器。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6. 项目后端采用JDK17 + Nacos信创适配版、Spring Cloud Gateway网关、Sentinel熔断限流组件, 数据支撑环境采用国产信创数据库达梦DM8,搭配Redis信创适配版缓存组件；通信与异步支撑采用国产化消息中间件，数据操作依托MyBatis-Plus持久层框架，整套后端技术体系完全适配信创软硬件环境.</w:t>
      </w:r>
    </w:p>
    <w:p>
      <w:pPr>
        <w:spacing w:before="120" w:after="120" w:line="288" w:lineRule="auto"/>
        <w:ind w:left="0" w:firstLine="50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7. 部署与运维支撑环境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sz w:val="28"/>
          <w:szCs w:val="28"/>
          <w:lang w:val="en-US" w:eastAsia="zh-CN"/>
        </w:rPr>
        <w:t>支持Tomcat、Nginx反向代理部署，适配Docker容器化部署、云服务器部署环境</w:t>
      </w: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spacing w:before="120" w:after="120" w:line="288" w:lineRule="auto"/>
        <w:ind w:left="0" w:firstLine="500" w:firstLineChars="0"/>
        <w:jc w:val="left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58" w:name="heading_23"/>
      <w:bookmarkStart w:id="59" w:name="_Toc24392"/>
      <w:r>
        <w:rPr>
          <w:rFonts w:hint="eastAsia" w:ascii="宋体" w:hAnsi="宋体" w:eastAsia="宋体" w:cs="宋体"/>
          <w:b/>
          <w:sz w:val="28"/>
          <w:szCs w:val="28"/>
        </w:rPr>
        <w:t>7. 系统维护设计</w:t>
      </w:r>
      <w:bookmarkEnd w:id="58"/>
      <w:bookmarkEnd w:id="59"/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60" w:name="heading_24"/>
      <w:bookmarkStart w:id="61" w:name="_Toc16974"/>
      <w:r>
        <w:rPr>
          <w:rFonts w:hint="eastAsia" w:ascii="宋体" w:hAnsi="宋体" w:eastAsia="宋体" w:cs="宋体"/>
          <w:b/>
          <w:sz w:val="28"/>
          <w:szCs w:val="28"/>
        </w:rPr>
        <w:t>7.1 日常维护设计</w:t>
      </w:r>
      <w:bookmarkEnd w:id="60"/>
      <w:bookmarkEnd w:id="61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系统内置可视化运维功能，支持管理员日常自主维护，包含系统参数配置、字典维护、用户权限维护、菜单维护、日志查询清理、文件资源管理等，操作简单便捷，无需专业代码能力即可完成日常运维工作。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62" w:name="_Toc2882"/>
      <w:bookmarkStart w:id="63" w:name="heading_25"/>
      <w:r>
        <w:rPr>
          <w:rFonts w:hint="eastAsia" w:ascii="宋体" w:hAnsi="宋体" w:eastAsia="宋体" w:cs="宋体"/>
          <w:b/>
          <w:sz w:val="28"/>
          <w:szCs w:val="28"/>
        </w:rPr>
        <w:t>7.2 数据维护设计</w:t>
      </w:r>
      <w:bookmarkEnd w:id="62"/>
      <w:bookmarkEnd w:id="63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统配置自动化数据维护机制，支持定时数据备份、过期数据清理、冗余数据优化、数据修复校验；支持手动一键备份、一键恢复，有效防止数据丢失、数据错乱，保障数据完整性与安全性。同时留存所有数据操作记录，实现数据维护全程可追溯。系统内置定位数据自动归档、按月分表清理、时序库分区回收定时任务，自动化管控亿级定位时序数据存储容量；人脸库配套分库分表数据迁移、批量特征清理、热点缓存刷新运维能力，支持人脸算力集群扩容后数据平滑迁移，保障人脸、定位两类海量业务数据长期稳定运维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64" w:name="_Toc13890"/>
      <w:bookmarkStart w:id="65" w:name="heading_26"/>
      <w:r>
        <w:rPr>
          <w:rFonts w:hint="eastAsia" w:ascii="宋体" w:hAnsi="宋体" w:eastAsia="宋体" w:cs="宋体"/>
          <w:b/>
          <w:sz w:val="28"/>
          <w:szCs w:val="28"/>
        </w:rPr>
        <w:t>7.3 故障维护设计</w:t>
      </w:r>
      <w:bookmarkEnd w:id="64"/>
      <w:bookmarkEnd w:id="65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统具备完善的故障自检与异常处理机制，运行异常时自动记录异常日志、弹出告警信息，精准定位故障模块、故障原因。针对系统卡顿、接口异常、登录异常、数据异常等常见问题，提供标准化故障排查方案，支持快速修复。同时支持版本回滚机制，版本更新出现异常可快速回退至稳定版本。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ascii="宋体" w:hAnsi="宋体" w:eastAsia="宋体" w:cs="宋体"/>
          <w:sz w:val="28"/>
          <w:szCs w:val="28"/>
        </w:rPr>
      </w:pPr>
      <w:bookmarkStart w:id="66" w:name="_Toc20442"/>
      <w:bookmarkStart w:id="67" w:name="heading_27"/>
      <w:r>
        <w:rPr>
          <w:rFonts w:hint="eastAsia" w:ascii="宋体" w:hAnsi="宋体" w:eastAsia="宋体" w:cs="宋体"/>
          <w:b/>
          <w:sz w:val="28"/>
          <w:szCs w:val="28"/>
        </w:rPr>
        <w:t>7.4 迭代维护设计</w:t>
      </w:r>
      <w:bookmarkEnd w:id="66"/>
      <w:bookmarkEnd w:id="67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基于模块化、松耦合架构设计，系统支持功能迭代、模块升级、需求优化，可在不影响整体系统运行的前提下，完成局部功能新增、修改、优化，适配后期业务拓展需求，降低迭代维护成本。</w:t>
      </w:r>
    </w:p>
    <w:p>
      <w:pPr>
        <w:spacing w:before="320" w:after="120" w:line="288" w:lineRule="auto"/>
        <w:ind w:left="0"/>
        <w:jc w:val="left"/>
        <w:outlineLvl w:val="1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</w:rPr>
        <w:t>7.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5</w:t>
      </w:r>
      <w:r>
        <w:rPr>
          <w:rFonts w:hint="eastAsia" w:ascii="宋体" w:hAnsi="宋体" w:eastAsia="宋体" w:cs="宋体"/>
          <w:b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运维堡垒机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申请堡垒机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作为统一运维入口，对所有服务器操作进行审计和权限控制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68" w:name="_Toc28347"/>
      <w:bookmarkStart w:id="69" w:name="heading_28"/>
      <w:r>
        <w:rPr>
          <w:rFonts w:hint="eastAsia" w:ascii="宋体" w:hAnsi="宋体" w:eastAsia="宋体" w:cs="宋体"/>
          <w:b/>
          <w:sz w:val="28"/>
          <w:szCs w:val="28"/>
        </w:rPr>
        <w:t>8. 需求的可追踪性</w:t>
      </w:r>
      <w:bookmarkEnd w:id="68"/>
      <w:bookmarkEnd w:id="69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为保障系统设计、开发、实现完全贴合前期业务需求，建立全流程需求可追踪机制，实现需求、设计、开发、测试、验收一一对应、全程溯源。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正向追踪：以《系统需求规格说明书》中的每一项功能需求、性能需求、安全需求、运维需求为基准，逐一对应本文档中的架构设计、模块设计、数据设计、接口设计、测试设计、运维设计内容，确保所有需求均有对应的设计方案支撑，无需求遗漏、无设计偏离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反向追踪：本文档所有设计内容均可反向对应至具体需求条目，无多余设计、无无效设计，所有设计工作均围绕业务需求开展，保障设计的针对性与实用性。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全流程追踪记录：建立需求追踪矩阵，记录每一项需求对应的设计章节、开发模块、测试用例、验收标准，实现从需求提出、方案设计、开发落地、测试验证到最终验收的全生命周期可追溯。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变更追踪：若后期需求发生变更，同步更新设计文档、开发代码、测试方案，留存变更记录，确保需求变更后各环节内容统一、同步更新，杜绝版本不一致问题。</w:t>
      </w:r>
    </w:p>
    <w:p>
      <w:pPr>
        <w:spacing w:before="380" w:after="140" w:line="288" w:lineRule="auto"/>
        <w:ind w:left="0"/>
        <w:jc w:val="left"/>
        <w:outlineLvl w:val="0"/>
        <w:rPr>
          <w:rFonts w:hint="eastAsia" w:ascii="宋体" w:hAnsi="宋体" w:eastAsia="宋体" w:cs="宋体"/>
          <w:sz w:val="28"/>
          <w:szCs w:val="28"/>
        </w:rPr>
      </w:pPr>
      <w:bookmarkStart w:id="70" w:name="heading_29"/>
      <w:bookmarkStart w:id="71" w:name="_Toc23761"/>
      <w:r>
        <w:rPr>
          <w:rFonts w:hint="eastAsia" w:ascii="宋体" w:hAnsi="宋体" w:eastAsia="宋体" w:cs="宋体"/>
          <w:b/>
          <w:sz w:val="28"/>
          <w:szCs w:val="28"/>
        </w:rPr>
        <w:t>9. 注解</w:t>
      </w:r>
      <w:bookmarkEnd w:id="70"/>
      <w:bookmarkEnd w:id="71"/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 本文档为系统概要设计正式版本，经评审、审批通过后生效，为项目开发、验收、运维的正式依据，具备项目技术文件效力。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 本文档内容为整体概要设计方案，具体细节将在后续《详细设计说明书》中进一步细化完善。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 本文档的修改、更新、废止需遵循项目文档管理规范，通过正式评审审批流程执行，任何个人不得私自修改。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4. 本文档涉及的技术参数、配置标准、设计方案可根据实际部署环境、业务拓展需求，在合规前提下进行优化调整，并留存变更归档记录。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5. 本文档所有内容均符合国家及行业信息化建设规范，若后续国家、行业标准更新，将同步修订本文档相关内容，保持设计规范的时效性与合规性。</w:t>
      </w:r>
    </w:p>
    <w:p>
      <w:pPr>
        <w:spacing w:before="120" w:after="120" w:line="288" w:lineRule="auto"/>
        <w:ind w:left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6. 本系统所有未在本文档中明确的细节内容，均以需求基线、行业通用技术规范及后续细化文档为准。</w:t>
      </w:r>
    </w:p>
    <w:sectPr>
      <w:headerReference r:id="rId3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A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thickThinLargeGap" w:color="auto" w:sz="4" w:space="1"/>
      </w:pBdr>
    </w:pPr>
    <w:r>
      <w:rPr>
        <w:rFonts w:hint="default" w:eastAsiaTheme="minorEastAsia"/>
        <w:lang w:eastAsia="zh-CN"/>
      </w:rPr>
      <w:ptab w:relativeTo="margin" w:alignment="right" w:leader="none"/>
    </w:r>
    <w:r>
      <w:rPr>
        <w:rFonts w:hint="default" w:eastAsiaTheme="minorEastAsia"/>
        <w:lang w:eastAsia="zh-CN"/>
      </w:rPr>
      <w:t>概要设计说明书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numPicBullet w:numPicBulletId="0">
    <w:pict>
      <v:shape id="0" type="#_x0000_t75" style="width:64px;height:64px" o:bullet="t">
        <v:imagedata r:id="rId1" o:title=""/>
      </v:shape>
    </w:pict>
  </w:numPicBullet>
  <w:abstractNum w:abstractNumId="0">
    <w:nsid w:val="88D67550"/>
    <w:multiLevelType w:val="singleLevel"/>
    <w:tmpl w:val="88D67550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1">
    <w:nsid w:val="281E3CBF"/>
    <w:multiLevelType w:val="singleLevel"/>
    <w:tmpl w:val="281E3CBF"/>
    <w:lvl w:ilvl="0" w:tentative="0">
      <w:start w:val="1"/>
      <w:numFmt w:val="bullet"/>
      <w:lvlText w:val=""/>
      <w:lvlPicBulletId w:val="0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323D4475"/>
    <w:multiLevelType w:val="singleLevel"/>
    <w:tmpl w:val="323D4475"/>
    <w:lvl w:ilvl="0" w:tentative="0">
      <w:start w:val="2"/>
      <w:numFmt w:val="decimal"/>
      <w:suff w:val="space"/>
      <w:lvlText w:val="%1."/>
      <w:lvlJc w:val="left"/>
    </w:lvl>
  </w:abstractNum>
  <w:abstractNum w:abstractNumId="3">
    <w:nsid w:val="569DEA67"/>
    <w:multiLevelType w:val="singleLevel"/>
    <w:tmpl w:val="569DEA67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4">
    <w:nsid w:val="58270AEB"/>
    <w:multiLevelType w:val="singleLevel"/>
    <w:tmpl w:val="58270AEB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">
    <w:nsid w:val="7C91B21D"/>
    <w:multiLevelType w:val="singleLevel"/>
    <w:tmpl w:val="7C91B21D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6">
    <w:nsid w:val="7DC3699D"/>
    <w:multiLevelType w:val="singleLevel"/>
    <w:tmpl w:val="7DC3699D"/>
    <w:lvl w:ilvl="0" w:tentative="0">
      <w:start w:val="1"/>
      <w:numFmt w:val="decimal"/>
      <w:pStyle w:val="4"/>
      <w:lvlText w:val="%1."/>
      <w:lvlJc w:val="left"/>
      <w:pPr>
        <w:tabs>
          <w:tab w:val="left" w:pos="780"/>
        </w:tabs>
        <w:ind w:left="780" w:hanging="360"/>
      </w:p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doNotUseIndentAsNumberingTabStop/>
    <w:splitPgBreakAndParaMark/>
    <w:compatSetting w:name="compatibilityMode" w:uri="http://schemas.microsoft.com/office/word" w:val="12"/>
  </w:compat>
  <w:docVars>
    <w:docVar w:name="commondata" w:val="eyJoZGlkIjoiZjM2ZmIyMTZjZjQwMmQwZTc2MDY5YTA5NTYxMzU3ZDcifQ=="/>
  </w:docVars>
  <w:rsids>
    <w:rsidRoot w:val="00000000"/>
    <w:rsid w:val="00425A1B"/>
    <w:rsid w:val="00DE3995"/>
    <w:rsid w:val="00E865C2"/>
    <w:rsid w:val="016043AA"/>
    <w:rsid w:val="01D04B3D"/>
    <w:rsid w:val="02671768"/>
    <w:rsid w:val="02866093"/>
    <w:rsid w:val="02AB78A7"/>
    <w:rsid w:val="031A67DB"/>
    <w:rsid w:val="03B86720"/>
    <w:rsid w:val="03E35FB0"/>
    <w:rsid w:val="042913CB"/>
    <w:rsid w:val="043833BC"/>
    <w:rsid w:val="05575AC4"/>
    <w:rsid w:val="05D44B33"/>
    <w:rsid w:val="06304C93"/>
    <w:rsid w:val="063876A4"/>
    <w:rsid w:val="06440985"/>
    <w:rsid w:val="06451DC1"/>
    <w:rsid w:val="06B70F10"/>
    <w:rsid w:val="06C61153"/>
    <w:rsid w:val="06E320FF"/>
    <w:rsid w:val="078D3A1F"/>
    <w:rsid w:val="07E165F2"/>
    <w:rsid w:val="08373B70"/>
    <w:rsid w:val="08CE0793"/>
    <w:rsid w:val="0957472D"/>
    <w:rsid w:val="09AD03A9"/>
    <w:rsid w:val="09BF67B0"/>
    <w:rsid w:val="09F75AC8"/>
    <w:rsid w:val="0AAB0D8C"/>
    <w:rsid w:val="0AE55920"/>
    <w:rsid w:val="0B41349E"/>
    <w:rsid w:val="0B8320F7"/>
    <w:rsid w:val="0BE04A65"/>
    <w:rsid w:val="0C3C5A14"/>
    <w:rsid w:val="0C686809"/>
    <w:rsid w:val="0C6C5517"/>
    <w:rsid w:val="0CE20369"/>
    <w:rsid w:val="0CE8342E"/>
    <w:rsid w:val="0D186481"/>
    <w:rsid w:val="0DA33F9D"/>
    <w:rsid w:val="0DCD71FF"/>
    <w:rsid w:val="0EE55330"/>
    <w:rsid w:val="0F735BF1"/>
    <w:rsid w:val="1025513D"/>
    <w:rsid w:val="10914580"/>
    <w:rsid w:val="11673533"/>
    <w:rsid w:val="11895257"/>
    <w:rsid w:val="11963E18"/>
    <w:rsid w:val="119A7465"/>
    <w:rsid w:val="12665599"/>
    <w:rsid w:val="1279351E"/>
    <w:rsid w:val="12D544CC"/>
    <w:rsid w:val="12EF37E0"/>
    <w:rsid w:val="12F9640D"/>
    <w:rsid w:val="13854144"/>
    <w:rsid w:val="13E50F0A"/>
    <w:rsid w:val="1468384A"/>
    <w:rsid w:val="147321EF"/>
    <w:rsid w:val="14733F9D"/>
    <w:rsid w:val="149634DA"/>
    <w:rsid w:val="14C667C2"/>
    <w:rsid w:val="1517701E"/>
    <w:rsid w:val="15293F57"/>
    <w:rsid w:val="15316332"/>
    <w:rsid w:val="15727DE0"/>
    <w:rsid w:val="15A765F4"/>
    <w:rsid w:val="15AA0C62"/>
    <w:rsid w:val="15B50D11"/>
    <w:rsid w:val="15DD3DC4"/>
    <w:rsid w:val="160C25DE"/>
    <w:rsid w:val="161422A7"/>
    <w:rsid w:val="16831D55"/>
    <w:rsid w:val="16CF5E02"/>
    <w:rsid w:val="17231CAA"/>
    <w:rsid w:val="17562080"/>
    <w:rsid w:val="17935082"/>
    <w:rsid w:val="17A3308A"/>
    <w:rsid w:val="182E6B59"/>
    <w:rsid w:val="190D49C0"/>
    <w:rsid w:val="193463F1"/>
    <w:rsid w:val="198509FA"/>
    <w:rsid w:val="19BB08C0"/>
    <w:rsid w:val="1A9133CF"/>
    <w:rsid w:val="1ACB4B33"/>
    <w:rsid w:val="1B487F31"/>
    <w:rsid w:val="1B99797B"/>
    <w:rsid w:val="1C1C4F1A"/>
    <w:rsid w:val="1CE974F2"/>
    <w:rsid w:val="1CF55E97"/>
    <w:rsid w:val="1D352737"/>
    <w:rsid w:val="1D5F77B4"/>
    <w:rsid w:val="1DC53ABB"/>
    <w:rsid w:val="1E827BFE"/>
    <w:rsid w:val="1F0E3293"/>
    <w:rsid w:val="1F10520A"/>
    <w:rsid w:val="1F1718FE"/>
    <w:rsid w:val="1F52137F"/>
    <w:rsid w:val="1F54709F"/>
    <w:rsid w:val="1F83778A"/>
    <w:rsid w:val="1FC16504"/>
    <w:rsid w:val="20E406FC"/>
    <w:rsid w:val="211F1734"/>
    <w:rsid w:val="21311468"/>
    <w:rsid w:val="21AD0AEE"/>
    <w:rsid w:val="21C916A0"/>
    <w:rsid w:val="220D5A31"/>
    <w:rsid w:val="225E003A"/>
    <w:rsid w:val="22A563C5"/>
    <w:rsid w:val="22E22A19"/>
    <w:rsid w:val="22FB1D2D"/>
    <w:rsid w:val="232748D0"/>
    <w:rsid w:val="23922F93"/>
    <w:rsid w:val="23A979DB"/>
    <w:rsid w:val="247054BB"/>
    <w:rsid w:val="25145328"/>
    <w:rsid w:val="253F23A5"/>
    <w:rsid w:val="25600F79"/>
    <w:rsid w:val="257608E2"/>
    <w:rsid w:val="25987D07"/>
    <w:rsid w:val="25C2246F"/>
    <w:rsid w:val="261750D0"/>
    <w:rsid w:val="262670C1"/>
    <w:rsid w:val="269E0726"/>
    <w:rsid w:val="26AD77E2"/>
    <w:rsid w:val="26CF59AB"/>
    <w:rsid w:val="275324C4"/>
    <w:rsid w:val="276B73F4"/>
    <w:rsid w:val="2821352A"/>
    <w:rsid w:val="28551EE0"/>
    <w:rsid w:val="28846DEB"/>
    <w:rsid w:val="29143B49"/>
    <w:rsid w:val="2A4B17EC"/>
    <w:rsid w:val="2AFE7FA7"/>
    <w:rsid w:val="2BA54F2C"/>
    <w:rsid w:val="2C271DE5"/>
    <w:rsid w:val="2C6B1CD2"/>
    <w:rsid w:val="2CD422E5"/>
    <w:rsid w:val="2D0068BE"/>
    <w:rsid w:val="2D083D47"/>
    <w:rsid w:val="2DD45655"/>
    <w:rsid w:val="2E8C2CB2"/>
    <w:rsid w:val="2F3960B7"/>
    <w:rsid w:val="2FD12853"/>
    <w:rsid w:val="30201025"/>
    <w:rsid w:val="30C776F3"/>
    <w:rsid w:val="30CE0A81"/>
    <w:rsid w:val="30FA3624"/>
    <w:rsid w:val="31126BC0"/>
    <w:rsid w:val="31675321"/>
    <w:rsid w:val="31F42567"/>
    <w:rsid w:val="322D58FE"/>
    <w:rsid w:val="32313075"/>
    <w:rsid w:val="324C6402"/>
    <w:rsid w:val="324F5BF1"/>
    <w:rsid w:val="32CB34CA"/>
    <w:rsid w:val="32EC5AE4"/>
    <w:rsid w:val="331D7A9E"/>
    <w:rsid w:val="332826CA"/>
    <w:rsid w:val="338D3855"/>
    <w:rsid w:val="33A06743"/>
    <w:rsid w:val="33C216EF"/>
    <w:rsid w:val="33DE722D"/>
    <w:rsid w:val="340128A1"/>
    <w:rsid w:val="342235BE"/>
    <w:rsid w:val="342E1F62"/>
    <w:rsid w:val="348E47AF"/>
    <w:rsid w:val="34FC3E0F"/>
    <w:rsid w:val="353C06AF"/>
    <w:rsid w:val="354D466A"/>
    <w:rsid w:val="35B71AE4"/>
    <w:rsid w:val="35DF103A"/>
    <w:rsid w:val="363E2205"/>
    <w:rsid w:val="36D44917"/>
    <w:rsid w:val="36F86858"/>
    <w:rsid w:val="374E4E9F"/>
    <w:rsid w:val="37A40CE6"/>
    <w:rsid w:val="37C130EE"/>
    <w:rsid w:val="37E62D69"/>
    <w:rsid w:val="38172D0E"/>
    <w:rsid w:val="382D34F9"/>
    <w:rsid w:val="38431D54"/>
    <w:rsid w:val="387A0FD3"/>
    <w:rsid w:val="391060DB"/>
    <w:rsid w:val="399205F3"/>
    <w:rsid w:val="39D709A6"/>
    <w:rsid w:val="3A0D261A"/>
    <w:rsid w:val="3A2367F9"/>
    <w:rsid w:val="3A267238"/>
    <w:rsid w:val="3A976388"/>
    <w:rsid w:val="3ACF78CF"/>
    <w:rsid w:val="3AFF67A6"/>
    <w:rsid w:val="3B5B5607"/>
    <w:rsid w:val="3B7641EF"/>
    <w:rsid w:val="3C3F1C5A"/>
    <w:rsid w:val="3C695373"/>
    <w:rsid w:val="3C9F32D2"/>
    <w:rsid w:val="3CBC20D5"/>
    <w:rsid w:val="3CE93009"/>
    <w:rsid w:val="3DBD7EB3"/>
    <w:rsid w:val="3E0A4974"/>
    <w:rsid w:val="3E476B1C"/>
    <w:rsid w:val="3E612F34"/>
    <w:rsid w:val="3E742C68"/>
    <w:rsid w:val="3E974BA8"/>
    <w:rsid w:val="3F7F7B16"/>
    <w:rsid w:val="40B3336F"/>
    <w:rsid w:val="40ED3989"/>
    <w:rsid w:val="41681B8D"/>
    <w:rsid w:val="41D12F71"/>
    <w:rsid w:val="41DD28D2"/>
    <w:rsid w:val="41E53E7C"/>
    <w:rsid w:val="42B20202"/>
    <w:rsid w:val="42EA799C"/>
    <w:rsid w:val="43120CA1"/>
    <w:rsid w:val="433429C6"/>
    <w:rsid w:val="43AE09CA"/>
    <w:rsid w:val="43D40163"/>
    <w:rsid w:val="44186ADC"/>
    <w:rsid w:val="443B5FD6"/>
    <w:rsid w:val="44556EDE"/>
    <w:rsid w:val="44BD69EB"/>
    <w:rsid w:val="44DC1567"/>
    <w:rsid w:val="44F20D8A"/>
    <w:rsid w:val="45401AF6"/>
    <w:rsid w:val="45A04342"/>
    <w:rsid w:val="45AF0A29"/>
    <w:rsid w:val="45C049E4"/>
    <w:rsid w:val="460F3276"/>
    <w:rsid w:val="46963997"/>
    <w:rsid w:val="46F752C0"/>
    <w:rsid w:val="473F5DDD"/>
    <w:rsid w:val="47CD5197"/>
    <w:rsid w:val="47EC1AC1"/>
    <w:rsid w:val="484B566D"/>
    <w:rsid w:val="489A151D"/>
    <w:rsid w:val="48CB3DCC"/>
    <w:rsid w:val="490D6193"/>
    <w:rsid w:val="49172B6D"/>
    <w:rsid w:val="49357497"/>
    <w:rsid w:val="4977360C"/>
    <w:rsid w:val="49E669E4"/>
    <w:rsid w:val="49FC7FB5"/>
    <w:rsid w:val="4A4C6847"/>
    <w:rsid w:val="4AA8652A"/>
    <w:rsid w:val="4AC07235"/>
    <w:rsid w:val="4AC42881"/>
    <w:rsid w:val="4BED4059"/>
    <w:rsid w:val="4C325F10"/>
    <w:rsid w:val="4C392DFB"/>
    <w:rsid w:val="4CF5766A"/>
    <w:rsid w:val="4D592737"/>
    <w:rsid w:val="4D7E765F"/>
    <w:rsid w:val="4D826A23"/>
    <w:rsid w:val="4DEF230B"/>
    <w:rsid w:val="4E034E91"/>
    <w:rsid w:val="4E335649"/>
    <w:rsid w:val="4E5D3E1E"/>
    <w:rsid w:val="4EB62E28"/>
    <w:rsid w:val="4EC05A55"/>
    <w:rsid w:val="4EEF00E8"/>
    <w:rsid w:val="4F334668"/>
    <w:rsid w:val="4FA40ED3"/>
    <w:rsid w:val="4FD44091"/>
    <w:rsid w:val="501F49FD"/>
    <w:rsid w:val="50316363"/>
    <w:rsid w:val="50BD0822"/>
    <w:rsid w:val="50EF617E"/>
    <w:rsid w:val="50FB0FC7"/>
    <w:rsid w:val="50FE0AB7"/>
    <w:rsid w:val="510A2FB8"/>
    <w:rsid w:val="519311FF"/>
    <w:rsid w:val="51966BC8"/>
    <w:rsid w:val="51B82A14"/>
    <w:rsid w:val="52187956"/>
    <w:rsid w:val="52BB6C5F"/>
    <w:rsid w:val="53476745"/>
    <w:rsid w:val="538E6122"/>
    <w:rsid w:val="53B844C3"/>
    <w:rsid w:val="53E93358"/>
    <w:rsid w:val="53FA5565"/>
    <w:rsid w:val="540E1011"/>
    <w:rsid w:val="551C150B"/>
    <w:rsid w:val="560A5808"/>
    <w:rsid w:val="5672469D"/>
    <w:rsid w:val="567F61F6"/>
    <w:rsid w:val="569021B1"/>
    <w:rsid w:val="56BD287A"/>
    <w:rsid w:val="56CB31E9"/>
    <w:rsid w:val="57671164"/>
    <w:rsid w:val="578A6C00"/>
    <w:rsid w:val="586B4C84"/>
    <w:rsid w:val="58DD3214"/>
    <w:rsid w:val="58ED38EB"/>
    <w:rsid w:val="58F92290"/>
    <w:rsid w:val="590D5D3B"/>
    <w:rsid w:val="59965D30"/>
    <w:rsid w:val="59AC10B0"/>
    <w:rsid w:val="59C04B5B"/>
    <w:rsid w:val="59E720E8"/>
    <w:rsid w:val="5A513A05"/>
    <w:rsid w:val="5A591600"/>
    <w:rsid w:val="5A8C2C8F"/>
    <w:rsid w:val="5AD430C9"/>
    <w:rsid w:val="5BB55CCF"/>
    <w:rsid w:val="5BC2635B"/>
    <w:rsid w:val="5C03363F"/>
    <w:rsid w:val="5C221AFD"/>
    <w:rsid w:val="5C8C341B"/>
    <w:rsid w:val="5CAE513F"/>
    <w:rsid w:val="5CE2128D"/>
    <w:rsid w:val="5D0905C7"/>
    <w:rsid w:val="5D663C6C"/>
    <w:rsid w:val="5DA12EF6"/>
    <w:rsid w:val="5DFB2606"/>
    <w:rsid w:val="5E6E102A"/>
    <w:rsid w:val="5F0279C4"/>
    <w:rsid w:val="5F1D035A"/>
    <w:rsid w:val="5F2A6BE3"/>
    <w:rsid w:val="5F441A6F"/>
    <w:rsid w:val="5F5E109E"/>
    <w:rsid w:val="5F700DD2"/>
    <w:rsid w:val="5FBF7663"/>
    <w:rsid w:val="5FEA77B2"/>
    <w:rsid w:val="60557EB8"/>
    <w:rsid w:val="60E23609"/>
    <w:rsid w:val="6183303E"/>
    <w:rsid w:val="61952D71"/>
    <w:rsid w:val="61A15272"/>
    <w:rsid w:val="61BD7BD2"/>
    <w:rsid w:val="620A1069"/>
    <w:rsid w:val="622639C9"/>
    <w:rsid w:val="62377985"/>
    <w:rsid w:val="626C3AD2"/>
    <w:rsid w:val="627F63C9"/>
    <w:rsid w:val="628262BC"/>
    <w:rsid w:val="62AC0373"/>
    <w:rsid w:val="62E55633"/>
    <w:rsid w:val="62F31AFE"/>
    <w:rsid w:val="63414F5F"/>
    <w:rsid w:val="64370A5B"/>
    <w:rsid w:val="643E4FFA"/>
    <w:rsid w:val="64412D3D"/>
    <w:rsid w:val="648E0A50"/>
    <w:rsid w:val="64986E00"/>
    <w:rsid w:val="650224CC"/>
    <w:rsid w:val="654900FB"/>
    <w:rsid w:val="65864EAB"/>
    <w:rsid w:val="65FA7647"/>
    <w:rsid w:val="661A1A97"/>
    <w:rsid w:val="667B2536"/>
    <w:rsid w:val="676E0A56"/>
    <w:rsid w:val="67980DA9"/>
    <w:rsid w:val="67982BC1"/>
    <w:rsid w:val="67B6134C"/>
    <w:rsid w:val="68570D81"/>
    <w:rsid w:val="68906041"/>
    <w:rsid w:val="694A4441"/>
    <w:rsid w:val="69825989"/>
    <w:rsid w:val="69877444"/>
    <w:rsid w:val="69A601BF"/>
    <w:rsid w:val="69BA3375"/>
    <w:rsid w:val="69F50851"/>
    <w:rsid w:val="6B483DD3"/>
    <w:rsid w:val="6B900027"/>
    <w:rsid w:val="6BDB5825"/>
    <w:rsid w:val="6C8E6D3B"/>
    <w:rsid w:val="6D260D22"/>
    <w:rsid w:val="6D3E250F"/>
    <w:rsid w:val="6D6042B8"/>
    <w:rsid w:val="6F55769C"/>
    <w:rsid w:val="6F5C0A2B"/>
    <w:rsid w:val="6F92269E"/>
    <w:rsid w:val="704B1971"/>
    <w:rsid w:val="705A361E"/>
    <w:rsid w:val="707029DF"/>
    <w:rsid w:val="71264C6A"/>
    <w:rsid w:val="713F23B2"/>
    <w:rsid w:val="714F6A99"/>
    <w:rsid w:val="71722AFD"/>
    <w:rsid w:val="71B34AD1"/>
    <w:rsid w:val="72165809"/>
    <w:rsid w:val="723E08BB"/>
    <w:rsid w:val="725D51E5"/>
    <w:rsid w:val="7352461E"/>
    <w:rsid w:val="739F538A"/>
    <w:rsid w:val="74A54C22"/>
    <w:rsid w:val="74C62370"/>
    <w:rsid w:val="7544268D"/>
    <w:rsid w:val="754D1541"/>
    <w:rsid w:val="757765BE"/>
    <w:rsid w:val="75A60C51"/>
    <w:rsid w:val="7608190C"/>
    <w:rsid w:val="767E397C"/>
    <w:rsid w:val="76A879B9"/>
    <w:rsid w:val="76EA5406"/>
    <w:rsid w:val="772E53A2"/>
    <w:rsid w:val="77664B3C"/>
    <w:rsid w:val="77B533CE"/>
    <w:rsid w:val="79AD6A52"/>
    <w:rsid w:val="7A1845EE"/>
    <w:rsid w:val="7A601D17"/>
    <w:rsid w:val="7A990D85"/>
    <w:rsid w:val="7AA00365"/>
    <w:rsid w:val="7AD16771"/>
    <w:rsid w:val="7AF70BF5"/>
    <w:rsid w:val="7B05466C"/>
    <w:rsid w:val="7B136D89"/>
    <w:rsid w:val="7B4D0C81"/>
    <w:rsid w:val="7B9559F0"/>
    <w:rsid w:val="7C8C4B5A"/>
    <w:rsid w:val="7CBC51FE"/>
    <w:rsid w:val="7CDB38D7"/>
    <w:rsid w:val="7CE3278B"/>
    <w:rsid w:val="7CF229CE"/>
    <w:rsid w:val="7D053E64"/>
    <w:rsid w:val="7D593F56"/>
    <w:rsid w:val="7DB0243F"/>
    <w:rsid w:val="7DB54128"/>
    <w:rsid w:val="7DD87E16"/>
    <w:rsid w:val="7EC565EC"/>
    <w:rsid w:val="7F32298B"/>
    <w:rsid w:val="7F7D6EC7"/>
    <w:rsid w:val="7FCA735A"/>
    <w:rsid w:val="7FD038E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qFormat="1"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2"/>
    <w:basedOn w:val="1"/>
    <w:next w:val="1"/>
    <w:autoRedefine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3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1">
    <w:name w:val="Default Paragraph Font"/>
    <w:autoRedefine/>
    <w:semiHidden/>
    <w:qFormat/>
    <w:uiPriority w:val="0"/>
  </w:style>
  <w:style w:type="table" w:default="1" w:styleId="10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Number 2"/>
    <w:basedOn w:val="1"/>
    <w:autoRedefine/>
    <w:qFormat/>
    <w:uiPriority w:val="0"/>
    <w:pPr>
      <w:numPr>
        <w:ilvl w:val="0"/>
        <w:numId w:val="1"/>
      </w:numPr>
    </w:pPr>
  </w:style>
  <w:style w:type="paragraph" w:styleId="5">
    <w:name w:val="toc 3"/>
    <w:basedOn w:val="1"/>
    <w:next w:val="1"/>
    <w:autoRedefine/>
    <w:qFormat/>
    <w:uiPriority w:val="39"/>
    <w:pPr>
      <w:ind w:left="840" w:leftChars="400"/>
    </w:pPr>
  </w:style>
  <w:style w:type="paragraph" w:styleId="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autoRedefine/>
    <w:qFormat/>
    <w:uiPriority w:val="39"/>
  </w:style>
  <w:style w:type="paragraph" w:styleId="9">
    <w:name w:val="toc 2"/>
    <w:basedOn w:val="1"/>
    <w:next w:val="1"/>
    <w:qFormat/>
    <w:uiPriority w:val="39"/>
    <w:pPr>
      <w:ind w:left="420" w:leftChars="200"/>
    </w:pPr>
  </w:style>
  <w:style w:type="character" w:styleId="12">
    <w:name w:val="Strong"/>
    <w:basedOn w:val="11"/>
    <w:autoRedefine/>
    <w:qFormat/>
    <w:uiPriority w:val="0"/>
    <w:rPr>
      <w:b/>
    </w:rPr>
  </w:style>
  <w:style w:type="character" w:styleId="13">
    <w:name w:val="HTML Code"/>
    <w:basedOn w:val="11"/>
    <w:autoRedefine/>
    <w:qFormat/>
    <w:uiPriority w:val="0"/>
    <w:rPr>
      <w:rFonts w:ascii="Courier New" w:hAnsi="Courier New"/>
      <w:sz w:val="20"/>
    </w:rPr>
  </w:style>
  <w:style w:type="character" w:customStyle="1" w:styleId="14">
    <w:name w:val="font41"/>
    <w:basedOn w:val="11"/>
    <w:autoRedefine/>
    <w:qFormat/>
    <w:uiPriority w:val="0"/>
    <w:rPr>
      <w:rFonts w:hint="default" w:ascii="Segoe UI" w:hAnsi="Segoe UI" w:eastAsia="Segoe UI" w:cs="Segoe UI"/>
      <w:color w:val="40404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emf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ScaleCrop>false</ScaleCrop>
  <LinksUpToDate>false</LinksUpToDate>
  <Application>WPS Office_12.1.0.16120_F1E327BC-269C-435d-A152-05C5408002CA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2026-05-26T07:57:00Z</dcterms:created>
  <dc:creator>Apache POI</dc:creator>
  <cp:lastModifiedBy>微信用户</cp:lastModifiedBy>
  <dcterms:modified xsi:type="dcterms:W3CDTF">2026-07-01T01:36:22Z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{"Label":"1","ContentProducer":"001191110102MACQD9K64010000","ProduceID":"7644106553961368532","ReservedCode1":"","ContentPropagator":"","PropagateID":"","ReservedCode2":""}</vt:lpwstr>
  </property>
  <property fmtid="{D5CDD505-2E9C-101B-9397-08002B2CF9AE}" pid="3" name="KSOProductBuildVer">
    <vt:lpwstr>2052-12.1.0.16120</vt:lpwstr>
  </property>
  <property fmtid="{D5CDD505-2E9C-101B-9397-08002B2CF9AE}" pid="4" name="ICV">
    <vt:lpwstr>E8C03B818FA04DE7AB9F4EB83FE9B6E3_12</vt:lpwstr>
  </property>
</Properties>
</file>